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2E3F" w14:textId="77777777" w:rsidR="00D565D5" w:rsidRPr="00B76D54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OZNÁMENIE</w:t>
      </w:r>
    </w:p>
    <w:p w14:paraId="1C86F44A" w14:textId="77777777" w:rsidR="00D565D5" w:rsidRPr="00B76D54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005686B7" w14:textId="77777777" w:rsidR="00D565D5" w:rsidRPr="00B76D54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bookmarkStart w:id="0" w:name="_GoBack"/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o možnosti predkladania žiadostí na zapojenie sa do národného projektu</w:t>
      </w:r>
    </w:p>
    <w:bookmarkEnd w:id="0"/>
    <w:p w14:paraId="127AC711" w14:textId="06418E9C" w:rsidR="00401C41" w:rsidRPr="00B76D54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Podpora poskytovania komunitných a kvalitných sociálnych služieb</w:t>
      </w:r>
      <w:r w:rsidR="00401400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(ďalej aj „Oznámenie“)</w:t>
      </w:r>
      <w:r w:rsidR="00F25A8E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,</w:t>
      </w:r>
    </w:p>
    <w:p w14:paraId="20896DF3" w14:textId="6BA81E4C" w:rsidR="00F25A8E" w:rsidRPr="00B76D54" w:rsidRDefault="00F25A8E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Opatrenie 2.1 </w:t>
      </w:r>
      <w:r w:rsidR="00F142CA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Podpora pokračovania v procese prechodu z inštitucionálnej na komunitnú starostlivosť v súlade s odborne oponovaným transformačným plánom</w:t>
      </w:r>
    </w:p>
    <w:p w14:paraId="0B338D94" w14:textId="77777777" w:rsidR="00401C41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53CB23AA" w14:textId="7FA23267" w:rsidR="00401C41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Názov projektu: </w:t>
      </w:r>
      <w:r w:rsidR="000B54E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Operačný program: </w:t>
      </w:r>
      <w:r w:rsidR="000B54E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Program Slovensko</w:t>
      </w:r>
    </w:p>
    <w:p w14:paraId="08047154" w14:textId="3B534E1F" w:rsidR="00401C41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Prioritná os (číslo a názov): </w:t>
      </w:r>
      <w:r w:rsidR="000B54EC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4P5 Aktívne začlenenie a dostupné služby</w:t>
      </w:r>
    </w:p>
    <w:p w14:paraId="2D7C4C47" w14:textId="0F6E4ABA" w:rsidR="00401C41" w:rsidRPr="00B76D54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Špecifický cieľ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ESO 4.8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: Podpora aktívneho začlenenia s cieľom podporovať rovnosť príležitostí, nediskrimináciu a aktívnu účasť a zlepšenie zamestnateľnosti, najmä v prípade znevýhodnených skupín</w:t>
      </w:r>
      <w:r w:rsidRPr="00B76D54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sk-SK"/>
        </w:rPr>
        <w:t> </w:t>
      </w:r>
    </w:p>
    <w:p w14:paraId="14871271" w14:textId="4E8C09B7" w:rsidR="000C58D1" w:rsidRPr="00B76D54" w:rsidRDefault="000C58D1" w:rsidP="000C58D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ITMS</w:t>
      </w:r>
      <w:r w:rsidR="00631110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2021</w:t>
      </w:r>
      <w:r w:rsidR="006C3CA9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+</w:t>
      </w:r>
      <w:r w:rsidR="00631110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:</w:t>
      </w:r>
      <w:r w:rsidR="00B72723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</w:t>
      </w:r>
      <w:r w:rsidR="00401400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NFP</w:t>
      </w:r>
      <w:r w:rsidR="00B72723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401405C004</w:t>
      </w:r>
    </w:p>
    <w:p w14:paraId="214A9191" w14:textId="471EE106" w:rsidR="00574B7F" w:rsidRPr="00B76D54" w:rsidRDefault="00631110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Kód/číslo oznámenia: 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NP PKS/2.1/1</w:t>
      </w:r>
      <w:r w:rsidR="000B54EC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/2025</w:t>
      </w:r>
    </w:p>
    <w:p w14:paraId="44BF384C" w14:textId="36C16F02" w:rsidR="00574B7F" w:rsidRPr="00B76D54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Dátum zverejnenia oznámenia: </w:t>
      </w:r>
      <w:r w:rsidR="003C4A63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19</w:t>
      </w:r>
      <w:r w:rsidR="00FD0AB9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.03.2025</w:t>
      </w:r>
    </w:p>
    <w:p w14:paraId="76DFA687" w14:textId="1C341350" w:rsidR="00574B7F" w:rsidRPr="00B76D54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Dátum predkladania žiadostí: 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od </w:t>
      </w:r>
      <w:r w:rsidR="003C4A63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19</w:t>
      </w:r>
      <w:r w:rsidR="00FD0AB9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.03.2025</w:t>
      </w:r>
    </w:p>
    <w:p w14:paraId="7D0490F6" w14:textId="4ADBAC57" w:rsidR="00574B7F" w:rsidRPr="00B76D54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Dátum uzavretia oznámenia: </w:t>
      </w:r>
      <w:r w:rsidR="00987303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08.04.2025</w:t>
      </w:r>
    </w:p>
    <w:p w14:paraId="333A1A64" w14:textId="77777777" w:rsidR="00401C41" w:rsidRPr="00B76D54" w:rsidRDefault="00401C41" w:rsidP="00574B7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 </w:t>
      </w:r>
    </w:p>
    <w:p w14:paraId="57132CE4" w14:textId="1421CB83" w:rsidR="00401C41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Schválil:</w:t>
      </w:r>
      <w:r w:rsidR="00F142CA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</w:t>
      </w:r>
      <w:r w:rsidR="00F142CA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Mgr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Jana Krausová Daniš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generáln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riaditeľ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ka</w:t>
      </w:r>
      <w:r w:rsidR="00A1796F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Projektovej kancelárie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Ministerstva práce, sociálnych vecí a rodiny Slovenskej republiky</w:t>
      </w:r>
    </w:p>
    <w:p w14:paraId="15AE1A5F" w14:textId="77777777" w:rsidR="00FB79F3" w:rsidRPr="00B76D54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5336656F" w14:textId="77777777" w:rsidR="00401C41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1. ZÁKLADNÉ INFORMÁCIE O PROJEKTE</w:t>
      </w:r>
    </w:p>
    <w:p w14:paraId="68DE32A1" w14:textId="020C8FE9" w:rsidR="00401C41" w:rsidRPr="00B76D54" w:rsidRDefault="00631110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Projektová kancelária </w:t>
      </w:r>
      <w:r w:rsidR="000B54EC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MPSVR SR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prijímateľom </w:t>
      </w:r>
      <w:r w:rsidR="00D369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nenávratn</w:t>
      </w:r>
      <w:r w:rsidR="0010360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ého</w:t>
      </w:r>
      <w:r w:rsidR="00D369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finančn</w:t>
      </w:r>
      <w:r w:rsidR="0010360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ého</w:t>
      </w:r>
      <w:r w:rsidR="00D369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10360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príspevku </w:t>
      </w:r>
      <w:r w:rsidR="00D369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(ďalej len „NFP“)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</w:t>
      </w:r>
      <w:r w:rsidR="0010360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 rámci 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národn</w:t>
      </w:r>
      <w:r w:rsidR="0010360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ého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projekt</w:t>
      </w:r>
      <w:r w:rsidR="0010360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u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0B54E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 kvalitných sociálnych služieb (ďalej len „NP PKS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 a/alebo „projekt“)</w:t>
      </w:r>
      <w:r w:rsidR="00D85964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financovaného z prostrie</w:t>
      </w:r>
      <w:r w:rsidR="00A85E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dkov ESF+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0B54E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 rámci P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rogramu </w:t>
      </w:r>
      <w:r w:rsidR="000B54E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Slovensko. NP PKS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sa realizuje na celom území Slovenskej republiky.</w:t>
      </w:r>
    </w:p>
    <w:p w14:paraId="2F494C7D" w14:textId="77777777" w:rsidR="004A4969" w:rsidRPr="00B76D54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</w:pPr>
    </w:p>
    <w:p w14:paraId="1F0D056D" w14:textId="3813CE16" w:rsidR="00F142CA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Cieľom projektu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</w:t>
      </w:r>
      <w:r w:rsidR="00D030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príprava komplexných podporných mechanizmov v prospech poskytovateľov sociálnych služieb za účelom zvýšenia kvality poskytovanej sociálnej služby a tým aj života prijímateľov sociálnych služieb a ich blízkych osôb. NP</w:t>
      </w:r>
      <w:r w:rsidR="0040140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PKS</w:t>
      </w:r>
      <w:r w:rsidR="00D030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svojimi podaktivitami napĺňa národné strategické dokumenty a medzinárodné záväzky v oblasti sociálnych politík, pričom podporí sociálne inovácie a prispeje k modernizácii v oblasti poskytovania sociálnych služieb. NP</w:t>
      </w:r>
      <w:r w:rsidR="0040140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PKS</w:t>
      </w:r>
      <w:r w:rsidR="00D030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bude realizovaný prostredníctvom troch tematických podaktivít v rámci hlavnej aktivity “Podpora poskytovateľov a prijímateľov sociálnych služieb v procese skvalitňovania sociálnych služieb a prechodu na komunitné služby”. </w:t>
      </w:r>
    </w:p>
    <w:p w14:paraId="098D611C" w14:textId="77777777" w:rsidR="00E35921" w:rsidRPr="00B76D54" w:rsidRDefault="00E3592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02C06708" w14:textId="33F3D732" w:rsidR="00E35921" w:rsidRPr="00B76D54" w:rsidRDefault="002438D0" w:rsidP="00DA1061">
      <w:pPr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  <w:t>Cieľom Opatrenia 2.1.</w:t>
      </w:r>
      <w:r w:rsidRPr="00B76D54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je za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bezpečenie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pokračujúc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ej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podpor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y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pre tie zariadenia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sociálnych služieb (ďalej len </w:t>
      </w:r>
      <w:r w:rsidR="0081304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ZSS</w:t>
      </w:r>
      <w:r w:rsidR="0081304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 v procese prechodu z inštitucionálnej na komunitnú starostlivosť, ktoré úspešne absolvovali aktivity</w:t>
      </w:r>
      <w:r w:rsidR="0089202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národného projektu Deinštitucionalizácia sociálnych služieb – podpora transformačných tímov (ďalej len „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NP DI PTT</w:t>
      </w:r>
      <w:r w:rsidR="0089202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“)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a majú pripravený a odborne oponovaný transformačný plán. </w:t>
      </w:r>
      <w:r w:rsidR="00A61F0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D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 projektu </w:t>
      </w:r>
      <w:r w:rsidR="00A61F0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sa môžu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zapojiť registrovaní poskytovatelia sociálnych služieb, ktorí boli preukázateľne zapojení v NP DI PTT a pripravený transformačný plán majú odborne oponovaný (výstup z aktivít NP DI PTT). Zamestnancom a prijímateľom sociálnych služieb zapojených ZSS budú poskytnuté konzultácie (prezenčnou aj online formou) v rôznych oblastiach prechodu z inštitucionálnej na komunitnú starostlivosť na základe</w:t>
      </w:r>
      <w:r w:rsidR="003F130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ich potrieb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</w:t>
      </w:r>
      <w:r w:rsidR="00DD76C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Zhodnotenie posunu ZSS v oblasti prechodu z inštitucionálnej na komunitnú starostlivosť bude realizované za účasti expertov so skúsenosťou (zapojení do opatrenia 1.2). Výstupom hodnotenia </w:t>
      </w:r>
      <w:r w:rsidR="00DB463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bude</w:t>
      </w:r>
      <w:r w:rsidR="00DD76C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spracovanie hodnotiacej správy, ktorá bude obsahovať  odporúčania na revíziu transformačného plánu.</w:t>
      </w:r>
      <w:r w:rsidR="00F85374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F52EB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Súčasťou opatrenia je aj poskytovanie supervízie, ktoré nenahrádza povinnosť zariadenia sociálnych služieb zabezpečiť supervíziu stanovenú zákonom, ako aj podpora vybraných zamestnancov zariadení sociálnych služieb koordinujúcich transformačný plán.</w:t>
      </w:r>
    </w:p>
    <w:p w14:paraId="1A3694F1" w14:textId="77777777" w:rsidR="00D03041" w:rsidRPr="00B76D54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44FE3C6F" w14:textId="03D9E8E7" w:rsidR="00D03041" w:rsidRPr="00B76D54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Odborné činnosti projektu budú implementovať spolupracujúce subjekty – užívatelia, ktorí disponujú potrebným odborným</w:t>
      </w:r>
      <w:r w:rsidR="0040140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 kapacitami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59C8AB3A" w14:textId="5504E2B6" w:rsidR="00DA1061" w:rsidRPr="00B76D54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377A347D" w14:textId="300DC107" w:rsidR="00DA1061" w:rsidRPr="00B76D54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1AB306FB" w14:textId="05E513B1" w:rsidR="00DA1061" w:rsidRPr="00B76D54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40313349" w14:textId="77777777" w:rsidR="00DA1061" w:rsidRPr="00B76D54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65D9B4C" w14:textId="7942ACFB" w:rsidR="00631110" w:rsidRPr="00B76D54" w:rsidRDefault="00631110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</w:pPr>
    </w:p>
    <w:p w14:paraId="316980C3" w14:textId="77777777" w:rsidR="004A4969" w:rsidRPr="00B76D54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Prijímateľ NFP:</w:t>
      </w:r>
    </w:p>
    <w:p w14:paraId="377D7A67" w14:textId="42DDCBFC" w:rsidR="000564B0" w:rsidRPr="00B76D54" w:rsidRDefault="00F142CA" w:rsidP="002951B7">
      <w:pPr>
        <w:numPr>
          <w:ilvl w:val="0"/>
          <w:numId w:val="31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Projektová kancelária 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MPSVR </w:t>
      </w:r>
      <w:r w:rsidR="00FB50C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SR</w:t>
      </w:r>
    </w:p>
    <w:p w14:paraId="538681DA" w14:textId="77777777" w:rsidR="00631110" w:rsidRPr="00B76D54" w:rsidRDefault="00631110" w:rsidP="00631110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63CD98C8" w14:textId="08CD5017" w:rsidR="004A4969" w:rsidRPr="00B76D54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Užívatelia</w:t>
      </w:r>
      <w:r w:rsidR="00401400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NP PKS</w:t>
      </w:r>
      <w:r w:rsidR="004A4969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:</w:t>
      </w:r>
    </w:p>
    <w:p w14:paraId="616B28EA" w14:textId="77777777" w:rsidR="00F1452B" w:rsidRPr="00B76D54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občianske združenie 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Rada pre poradenstvo v sociálnej práci (ďalej len </w:t>
      </w:r>
      <w:r w:rsidR="000564B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RPSP</w:t>
      </w:r>
      <w:r w:rsidR="000564B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</w:p>
    <w:p w14:paraId="670D874D" w14:textId="77777777" w:rsidR="00F1452B" w:rsidRPr="00B76D54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občianske združenie 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Slovenská únia podporovaného zamestnávania (ďalej len </w:t>
      </w:r>
      <w:r w:rsidR="000564B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SUPZ</w:t>
      </w:r>
      <w:r w:rsidR="000564B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EE328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</w:p>
    <w:p w14:paraId="0D0C7D34" w14:textId="270AC6B1" w:rsidR="004A4969" w:rsidRPr="00B76D54" w:rsidRDefault="00EE3285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Slovenská technická univerzita v Bratislave, Fakulta architektúry </w:t>
      </w:r>
      <w:r w:rsidR="00BA1A2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a dizajnu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STU,</w:t>
      </w:r>
      <w:r w:rsidR="00BA1A2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4A496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Výskumné a školiace centrum bezbariérového navrhovania – CEDA FA STU (ďalej len </w:t>
      </w:r>
      <w:r w:rsidR="000564B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„</w:t>
      </w:r>
      <w:r w:rsidR="00D030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CEDA</w:t>
      </w:r>
      <w:r w:rsidR="000564B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D030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</w:p>
    <w:p w14:paraId="19C8E9C0" w14:textId="2631EC4A" w:rsidR="00D03041" w:rsidRPr="00B76D54" w:rsidRDefault="00D03041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Pr="00B76D54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občianske združenie Inštitút pre vzdelávanie v paliatívnej medicíne (ďalej len „IVPM“)</w:t>
      </w:r>
    </w:p>
    <w:p w14:paraId="1A776E36" w14:textId="7BF06D72" w:rsidR="00D03041" w:rsidRPr="00B76D54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nezisková organizácia s právnou formou ústavu Národní ústav pro autismus (ďalej len „NAUTIS“)</w:t>
      </w:r>
    </w:p>
    <w:p w14:paraId="332BDA68" w14:textId="77777777" w:rsidR="004A4969" w:rsidRPr="00B76D54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0151799C" w14:textId="6CD57747" w:rsidR="00C147D7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2. FINANCOVANIE PROJEKTU</w:t>
      </w:r>
    </w:p>
    <w:p w14:paraId="3E213A87" w14:textId="08E67E81" w:rsidR="0037710E" w:rsidRPr="00B76D54" w:rsidRDefault="0037710E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Výška NFP Akcie 1 - Tvorba a implementácia transformačných plánov poskytovateľov sociálnych služieb zapojených do procesu prechodu z inštitucionálnej na komunitnú starostlivosť </w:t>
      </w:r>
      <w:r w:rsidR="003213A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(zdroj EÚ) je 5 035 395,00 EUR</w:t>
      </w:r>
      <w:r w:rsidR="003213A9" w:rsidRPr="00B76D54" w:rsidDel="003213A9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</w:p>
    <w:p w14:paraId="17C82309" w14:textId="77777777" w:rsidR="0037710E" w:rsidRPr="00B76D54" w:rsidRDefault="0037710E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DB2F838" w14:textId="22AE6792" w:rsidR="00493553" w:rsidRPr="00B76D54" w:rsidRDefault="004461E9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 rámci realizácie</w:t>
      </w:r>
      <w:r w:rsidR="008C10A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O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patrenia 2.1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Podaktivity</w:t>
      </w:r>
      <w:r w:rsidR="00F72394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8C10A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2.</w:t>
      </w:r>
      <w:r w:rsidR="00D369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– „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pokračovania v procese prechodu z inštitucionálnej na komunitnú starostlivosť v súlade s odborne oponovaným transformačným plánom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“ 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sa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C147D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SCHÉMA</w:t>
      </w:r>
      <w:r w:rsidR="008C10A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MINIMÁLNEJ</w:t>
      </w:r>
      <w:r w:rsidR="00C147D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POMOCI na podporu vzdelávania pri procese deinštitucionalizácie zariadení sociálnych služieb</w:t>
      </w:r>
      <w:r w:rsidR="00977B2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z prostriedkov Programu Slovensko </w:t>
      </w:r>
      <w:r w:rsidR="00C147D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(schéma DM - 6</w:t>
      </w:r>
      <w:r w:rsidR="00977B2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0/2024</w:t>
      </w:r>
      <w:r w:rsidR="00C147D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F142CA"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neuplatňuje</w:t>
      </w:r>
      <w:r w:rsidR="00F142C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211B4BEF" w14:textId="6CDA24A0" w:rsidR="004F6258" w:rsidRPr="00B76D54" w:rsidRDefault="004F625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F3CDEBA" w14:textId="77777777" w:rsidR="00401C41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3. OPRÁVNENÍ ŽIADATELIA O ZAPOJENIE SA DO PROJEKTU</w:t>
      </w:r>
    </w:p>
    <w:p w14:paraId="28D82151" w14:textId="6B20FFCA" w:rsidR="00495438" w:rsidRPr="00B76D54" w:rsidRDefault="00401C41" w:rsidP="00D96C3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 rámci tohto oznámenia sa do NP </w:t>
      </w:r>
      <w:r w:rsidR="00D96C3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môžu zapoj</w:t>
      </w:r>
      <w:r w:rsidR="00D96C3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iť </w:t>
      </w:r>
      <w:r w:rsidR="00A85E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verejní aj neverejní </w:t>
      </w:r>
      <w:r w:rsidR="0040126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registrovaní poskytovatelia sociálnych služieb, ktorí boli preukázateľne zapojení v NP DI PTT a pripravený transformačný plán majú odborne oponovaný (výstup z aktivít NP DI PTT).</w:t>
      </w:r>
    </w:p>
    <w:p w14:paraId="1F6AF9C6" w14:textId="77777777" w:rsidR="005B2FCB" w:rsidRPr="00B76D54" w:rsidRDefault="005B2FCB" w:rsidP="00D96C3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6597A49D" w14:textId="77777777" w:rsidR="00B75753" w:rsidRPr="00B76D54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0592F70D" w14:textId="31587521" w:rsidR="00401C41" w:rsidRPr="00B76D54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4. OPRÁVNENÉ CIEĽOVÉ</w:t>
      </w:r>
      <w:r w:rsidR="00401C41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SKUPIN</w:t>
      </w: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Y</w:t>
      </w:r>
      <w:r w:rsidR="00D369CB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PROJEKTU</w:t>
      </w:r>
    </w:p>
    <w:p w14:paraId="721C634B" w14:textId="4E4C9652" w:rsidR="00401C41" w:rsidRPr="00B76D54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Cieľová skupina v zmysle Programu Slovensko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:</w:t>
      </w:r>
    </w:p>
    <w:p w14:paraId="541449C3" w14:textId="77777777" w:rsidR="00A85E80" w:rsidRPr="00B76D5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  <w:lang w:val="sk-SK"/>
        </w:rPr>
      </w:pPr>
      <w:r w:rsidRPr="00B76D54">
        <w:rPr>
          <w:rFonts w:cs="Arial"/>
          <w:color w:val="000000" w:themeColor="text1"/>
          <w:sz w:val="20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B76D5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  <w:lang w:val="sk-SK"/>
        </w:rPr>
      </w:pPr>
      <w:r w:rsidRPr="00B76D54">
        <w:rPr>
          <w:rFonts w:cs="Arial"/>
          <w:color w:val="000000" w:themeColor="text1"/>
          <w:sz w:val="20"/>
          <w:szCs w:val="20"/>
          <w:lang w:val="sk-SK"/>
        </w:rPr>
        <w:t>seniori ako FO, ktoré dovŕšili dôchodkový vek;</w:t>
      </w:r>
    </w:p>
    <w:p w14:paraId="0F937EA9" w14:textId="5914CEF7" w:rsidR="00A85E80" w:rsidRPr="00B76D5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</w:rPr>
      </w:pPr>
      <w:r w:rsidRPr="00B76D54">
        <w:rPr>
          <w:rFonts w:cs="Arial"/>
          <w:color w:val="000000" w:themeColor="text1"/>
          <w:sz w:val="20"/>
          <w:szCs w:val="20"/>
        </w:rPr>
        <w:t>osoby so zdravotným postihnutím;</w:t>
      </w:r>
    </w:p>
    <w:p w14:paraId="529F9099" w14:textId="6006CACD" w:rsidR="00B75753" w:rsidRPr="00B76D54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color w:val="000000" w:themeColor="text1"/>
          <w:sz w:val="20"/>
          <w:szCs w:val="20"/>
        </w:rPr>
      </w:pPr>
      <w:r w:rsidRPr="00B76D54">
        <w:rPr>
          <w:rFonts w:cs="Arial"/>
          <w:color w:val="000000" w:themeColor="text1"/>
          <w:sz w:val="20"/>
          <w:szCs w:val="20"/>
        </w:rPr>
        <w:t>zamestnanci v oblasti sociálneho začlenenia ako zamestnanci vykonávajúci politiky a opatrenia v oblasti prevencie diskriminácie a/alebo sociálneho začlenenia vo verejnom aj neverejnom sektore</w:t>
      </w:r>
    </w:p>
    <w:p w14:paraId="42262CEB" w14:textId="77777777" w:rsidR="00A85E80" w:rsidRPr="00B76D54" w:rsidRDefault="00A85E80" w:rsidP="00A85E80">
      <w:pPr>
        <w:pStyle w:val="TableParagraph"/>
        <w:ind w:left="280"/>
        <w:contextualSpacing/>
        <w:rPr>
          <w:rFonts w:asciiTheme="minorHAnsi" w:hAnsiTheme="minorHAnsi" w:cs="Arial"/>
          <w:color w:val="000000" w:themeColor="text1"/>
        </w:rPr>
      </w:pPr>
    </w:p>
    <w:p w14:paraId="4E7B16BF" w14:textId="77777777" w:rsidR="00401C41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5. OPRÁVNENÉ ÚZEMIE</w:t>
      </w:r>
    </w:p>
    <w:p w14:paraId="1FAD4915" w14:textId="6B71DAA0" w:rsidR="00B75753" w:rsidRPr="00B76D54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Oprávneným územím realizácie NP </w:t>
      </w:r>
      <w:r w:rsidR="00A85E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celé územie Slovenskej republiky</w:t>
      </w:r>
      <w:r w:rsidR="00A85E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55D9752E" w14:textId="77777777" w:rsidR="00E71D1E" w:rsidRPr="00B76D54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12715BA7" w14:textId="77777777" w:rsidR="00401C41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6. OPRÁVNENÉ AKTIVITY</w:t>
      </w:r>
    </w:p>
    <w:p w14:paraId="1F218545" w14:textId="77777777" w:rsidR="00476D0E" w:rsidRPr="00B76D54" w:rsidRDefault="00401C41" w:rsidP="000A1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 rámci implementácie NP </w:t>
      </w:r>
      <w:r w:rsidR="00A85E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="00565EC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bude realizovaná hlavná aktivita </w:t>
      </w:r>
      <w:r w:rsidR="00F036F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–</w:t>
      </w:r>
      <w:r w:rsidR="00565EC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6721A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</w:t>
      </w:r>
    </w:p>
    <w:p w14:paraId="01C4B2FA" w14:textId="5A83CF9F" w:rsidR="006721AC" w:rsidRPr="00B76D54" w:rsidRDefault="000A13C3" w:rsidP="000A13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Oznámenie o možnosti predkladania žiadostí na zapojenie sa do národného projektu</w:t>
      </w:r>
      <w:r w:rsidR="00476D0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 kvalitných sociálnych služieb je viazané pre Opatrenie 2.1 Podaktivity 2.</w:t>
      </w:r>
    </w:p>
    <w:p w14:paraId="709E19F6" w14:textId="30852F51" w:rsidR="000A13C3" w:rsidRPr="00B76D54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283106AE" w14:textId="36D5D5C1" w:rsidR="000533E9" w:rsidRPr="00B76D54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 xml:space="preserve">Podaktivita </w:t>
      </w:r>
      <w:r w:rsidR="000533E9" w:rsidRPr="00B76D5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 xml:space="preserve">2 – </w:t>
      </w:r>
      <w:r w:rsidRPr="00B76D54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Podpora poskytovateľov sociálnych služieb v transformácii vo vybraných zariadeniach sociálnych služieb</w:t>
      </w:r>
    </w:p>
    <w:p w14:paraId="44762A19" w14:textId="27B0897B" w:rsidR="006721AC" w:rsidRPr="00B76D54" w:rsidRDefault="006721AC" w:rsidP="00510425">
      <w:pPr>
        <w:ind w:firstLine="426"/>
        <w:contextualSpacing/>
        <w:jc w:val="both"/>
        <w:rPr>
          <w:rFonts w:eastAsiaTheme="minorEastAsia"/>
          <w:b/>
          <w:bCs/>
          <w:color w:val="000000" w:themeColor="text1"/>
          <w:u w:val="single"/>
        </w:rPr>
      </w:pPr>
      <w:r w:rsidRPr="00B76D54">
        <w:rPr>
          <w:rFonts w:eastAsiaTheme="minorEastAsia"/>
          <w:b/>
          <w:bCs/>
          <w:color w:val="000000" w:themeColor="text1"/>
          <w:u w:val="single"/>
        </w:rPr>
        <w:t>Opatrenie 2.1: Podpora pokračovania v procese prechodu z inštitucionálnej na komunitnú starostlivosť v súlade s odborne oponovaným transformačným plánom</w:t>
      </w:r>
    </w:p>
    <w:p w14:paraId="7BDA08EA" w14:textId="0E8608EC" w:rsidR="0048622C" w:rsidRPr="00B76D54" w:rsidRDefault="0048622C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S</w:t>
      </w:r>
      <w:r w:rsidR="000A13C3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polupráca vybraných užívateľov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projektu </w:t>
      </w:r>
    </w:p>
    <w:p w14:paraId="4710EF82" w14:textId="55B2C4F8" w:rsidR="000A13C3" w:rsidRPr="00B76D54" w:rsidRDefault="00331FD6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Výber poskytovateľov</w:t>
      </w:r>
      <w:r w:rsidR="005B2F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na základe</w:t>
      </w:r>
      <w:r w:rsidR="000A13C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K</w:t>
      </w:r>
      <w:r w:rsidR="009158C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ritérií</w:t>
      </w:r>
      <w:r w:rsidR="000A13C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pre výber </w:t>
      </w:r>
      <w:r w:rsidR="00C8524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poskytovateľov</w:t>
      </w:r>
      <w:r w:rsidR="000A13C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sociálny</w:t>
      </w:r>
      <w:r w:rsidR="009158C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ch služieb do</w:t>
      </w:r>
      <w:r w:rsidR="005B2F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realizácie Opatrenia 2.1 NP </w:t>
      </w:r>
      <w:r w:rsidR="009158C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</w:p>
    <w:p w14:paraId="564F15B9" w14:textId="544BEE67" w:rsidR="000A13C3" w:rsidRPr="00B76D54" w:rsidRDefault="005B2FCB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lastRenderedPageBreak/>
        <w:t xml:space="preserve">Koordinácia </w:t>
      </w:r>
      <w:r w:rsidR="000A13C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implementácie </w:t>
      </w:r>
      <w:r w:rsidR="009158C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transformačných plánov</w:t>
      </w:r>
    </w:p>
    <w:p w14:paraId="09F010CB" w14:textId="5A0E680A" w:rsidR="005B2FCB" w:rsidRPr="00B76D54" w:rsidRDefault="005B2FCB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Poskytovanie konzultácií a cielenej podpory pre zapojen</w:t>
      </w:r>
      <w:r w:rsidR="009353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ých poskytovateľov</w:t>
      </w:r>
      <w:r w:rsidR="00331FD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sociálnych služieb (ďalej len „poskytovateľov“)</w:t>
      </w:r>
    </w:p>
    <w:p w14:paraId="1E77041D" w14:textId="63F48ECC" w:rsidR="00476D0E" w:rsidRPr="00B76D54" w:rsidRDefault="00AC500C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Zamestnanie</w:t>
      </w:r>
      <w:r w:rsidR="00476D0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Expertov v oblasti sociálneho začlenenia pre budovanie komunitných služieb</w:t>
      </w:r>
    </w:p>
    <w:p w14:paraId="5E8CF231" w14:textId="65AC712E" w:rsidR="00017F5A" w:rsidRPr="00B76D54" w:rsidRDefault="00F92FE6" w:rsidP="00982EB4">
      <w:pPr>
        <w:numPr>
          <w:ilvl w:val="0"/>
          <w:numId w:val="45"/>
        </w:num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sk-SK"/>
        </w:rPr>
      </w:pP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Poskytovanie supervízie</w:t>
      </w:r>
      <w:r w:rsidR="007A0FE6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pre zapojen</w:t>
      </w:r>
      <w:r w:rsidR="009353CB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ých poskytovateľov</w:t>
      </w:r>
      <w:r w:rsidR="007A0FE6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formou individuálnej a skupinovej supervízie počas celej realizácie projektu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v</w:t>
      </w:r>
      <w:r w:rsidR="00FB7E68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 rozsahu maximálne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90</w:t>
      </w:r>
      <w:r w:rsidR="00897235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hodí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n počas zapojenia pre každ</w:t>
      </w:r>
      <w:r w:rsidR="009353CB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ého poskytovateľa</w:t>
      </w:r>
      <w:r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 xml:space="preserve"> v NP PKS</w:t>
      </w:r>
      <w:r w:rsidR="007A0FE6" w:rsidRPr="00B76D5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k-SK"/>
        </w:rPr>
        <w:t>.</w:t>
      </w:r>
    </w:p>
    <w:p w14:paraId="0582EC7A" w14:textId="77777777" w:rsidR="00017F5A" w:rsidRPr="00B76D54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sk-SK"/>
        </w:rPr>
      </w:pPr>
    </w:p>
    <w:p w14:paraId="397D6D00" w14:textId="292EDA8C" w:rsidR="00401C41" w:rsidRPr="00B76D54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7</w:t>
      </w:r>
      <w:r w:rsidR="00401C41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 ČASOVÝ RÁMEC REALIZÁCIE AKTIVÍT V RÁMCI PROJEKTU</w:t>
      </w:r>
    </w:p>
    <w:p w14:paraId="1BCB77F0" w14:textId="22EE504C" w:rsidR="00401C41" w:rsidRPr="00B76D54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Časový rámec realizácie </w:t>
      </w:r>
      <w:r w:rsidR="008835D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aktivít pre zapojený subjekt do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NP </w:t>
      </w:r>
      <w:r w:rsidR="00FB7E6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od 1. dňa nasledujúceho po </w:t>
      </w:r>
      <w:r w:rsidR="009C491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dni zverejnenia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Zmluvy o</w:t>
      </w:r>
      <w:r w:rsidR="00E07AA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spolupráci</w:t>
      </w:r>
      <w:r w:rsidR="00E07AA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 zariadením sociálnych služieb (ďalej len „Zmluva o spolupráci“)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9C491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 Centrálnom registri zmlúv</w:t>
      </w:r>
      <w:r w:rsidR="004246A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</w:t>
      </w:r>
      <w:r w:rsidR="0014500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8835D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a to počas </w:t>
      </w:r>
      <w:r w:rsidR="001E087A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maximálne</w:t>
      </w:r>
      <w:r w:rsidR="0014500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F92FE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30</w:t>
      </w:r>
      <w:r w:rsidR="008835D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mesiacov.</w:t>
      </w:r>
    </w:p>
    <w:p w14:paraId="67C4EAFB" w14:textId="77777777" w:rsidR="00B75753" w:rsidRPr="00B76D54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08779340" w14:textId="77777777" w:rsidR="00401C41" w:rsidRPr="00B76D54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8</w:t>
      </w:r>
      <w:r w:rsidR="00401C41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. POSTUP ZAPOJENIA SA </w:t>
      </w:r>
      <w:r w:rsidR="00D565D5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ŽIADATEĽA DO PROJEKTU</w:t>
      </w:r>
    </w:p>
    <w:p w14:paraId="6E58BF96" w14:textId="2E0FC82F" w:rsidR="00401C41" w:rsidRPr="00B76D54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Oprávnený žiadateľ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ktor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ý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spĺňa podmienky uvedené v kapitole 3., môže </w:t>
      </w:r>
      <w:r w:rsidR="00E7313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podať 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„Žiadosť o zapojenie sa do NP </w:t>
      </w:r>
      <w:r w:rsidR="00F92FE6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 (ďalej aj „žiadosť“)</w:t>
      </w:r>
      <w:r w:rsidR="00BB5CC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vyplnením formulára </w:t>
      </w:r>
      <w:r w:rsidR="00BB5CC5" w:rsidRPr="00B76D54">
        <w:rPr>
          <w:rFonts w:ascii="Arial" w:eastAsia="Times New Roman" w:hAnsi="Arial" w:cs="Arial"/>
          <w:strike/>
          <w:color w:val="000000" w:themeColor="text1"/>
          <w:sz w:val="20"/>
          <w:szCs w:val="20"/>
          <w:lang w:eastAsia="sk-SK"/>
        </w:rPr>
        <w:t>(príloha č.1)</w:t>
      </w:r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pričom postupuje nasledovne:</w:t>
      </w:r>
    </w:p>
    <w:p w14:paraId="6156EFC2" w14:textId="18552F72" w:rsidR="00401C41" w:rsidRPr="00B76D54" w:rsidRDefault="00401C41" w:rsidP="00AC500C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vyplní formulár žiadosti, ktor</w:t>
      </w:r>
      <w:r w:rsidR="0081304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ý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je prílohou č. 1 </w:t>
      </w:r>
      <w:r w:rsidR="0072417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tohto </w:t>
      </w:r>
      <w:r w:rsidR="0040140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</w:t>
      </w:r>
      <w:r w:rsidR="0072417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známenia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, a to v čase podávania </w:t>
      </w:r>
      <w:r w:rsidR="002A093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žiadostí, najneskôr do dátumu uzavretia</w:t>
      </w:r>
      <w:r w:rsidR="007107C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Oznámenia</w:t>
      </w:r>
      <w:r w:rsidR="00574B7F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;</w:t>
      </w:r>
    </w:p>
    <w:p w14:paraId="5F38D99D" w14:textId="3DCC0B49" w:rsidR="00401C41" w:rsidRPr="00B76D54" w:rsidRDefault="00401C41" w:rsidP="00FB79F3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k</w:t>
      </w:r>
      <w:r w:rsidR="00AC500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odoslanej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žiadosti </w:t>
      </w:r>
      <w:r w:rsidR="002B4E7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môže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žiadateľ – </w:t>
      </w:r>
      <w:r w:rsidR="00AC500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poskytovateľ sociálnej služby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pripojiť nasledovné prílohy:</w:t>
      </w:r>
    </w:p>
    <w:p w14:paraId="039BC019" w14:textId="0EEFB133" w:rsidR="00371833" w:rsidRPr="00B76D54" w:rsidRDefault="00371833" w:rsidP="00E36E8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B76D54" w:rsidRPr="00B76D54" w14:paraId="24A23D3F" w14:textId="77777777" w:rsidTr="002647D1">
        <w:tc>
          <w:tcPr>
            <w:tcW w:w="9067" w:type="dxa"/>
            <w:gridSpan w:val="2"/>
            <w:shd w:val="clear" w:color="auto" w:fill="FDE9D9" w:themeFill="accent6" w:themeFillTint="33"/>
          </w:tcPr>
          <w:p w14:paraId="4322AF0C" w14:textId="3D9E1D67" w:rsidR="00030A14" w:rsidRPr="00B76D54" w:rsidRDefault="00030A14" w:rsidP="00EA59C0">
            <w:pPr>
              <w:ind w:left="2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D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 w:type="page"/>
            </w:r>
            <w:r w:rsidR="00EA59C0"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Doplňujúce p</w:t>
            </w:r>
            <w:r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rílohy k žiadosti o zapojenie sa do NP PKS</w:t>
            </w:r>
          </w:p>
        </w:tc>
      </w:tr>
      <w:tr w:rsidR="00B76D54" w:rsidRPr="00B76D54" w14:paraId="634FE6C5" w14:textId="77777777" w:rsidTr="002647D1">
        <w:tc>
          <w:tcPr>
            <w:tcW w:w="846" w:type="dxa"/>
          </w:tcPr>
          <w:p w14:paraId="3B98D422" w14:textId="4ED556BD" w:rsidR="00030A14" w:rsidRPr="00B76D54" w:rsidRDefault="002B4E71" w:rsidP="002647D1">
            <w:pPr>
              <w:ind w:left="17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30A14"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10EE40E" w14:textId="77777777" w:rsidR="00030A14" w:rsidRPr="00B76D54" w:rsidRDefault="00030A14" w:rsidP="002647D1">
            <w:pPr>
              <w:ind w:left="10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Stanovisko zriaďovateľa o podpore v procese deinštitucionalizácie nie staršie ako 5 rokov</w:t>
            </w:r>
          </w:p>
        </w:tc>
      </w:tr>
      <w:tr w:rsidR="00030A14" w:rsidRPr="00B76D54" w14:paraId="252D6C68" w14:textId="77777777" w:rsidTr="002647D1">
        <w:tc>
          <w:tcPr>
            <w:tcW w:w="846" w:type="dxa"/>
          </w:tcPr>
          <w:p w14:paraId="0B54ECCF" w14:textId="5C11FF65" w:rsidR="00030A14" w:rsidRPr="00B76D54" w:rsidRDefault="002B4E71" w:rsidP="002647D1">
            <w:pPr>
              <w:ind w:left="17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030A14"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40D817D" w14:textId="11E897CE" w:rsidR="00030A14" w:rsidRPr="00B76D54" w:rsidRDefault="002B4E71" w:rsidP="002647D1">
            <w:pPr>
              <w:ind w:left="10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6D54">
              <w:rPr>
                <w:rFonts w:ascii="Arial" w:hAnsi="Arial" w:cs="Arial"/>
                <w:color w:val="000000" w:themeColor="text1"/>
                <w:sz w:val="20"/>
                <w:szCs w:val="20"/>
              </w:rPr>
              <w:t>Čestné vyhlásenie o príprave žiadosti alebo o predložení žiadosti o poskytnutie investičných prostriedkov na rozvoj komunitných služieb.</w:t>
            </w:r>
          </w:p>
        </w:tc>
      </w:tr>
    </w:tbl>
    <w:p w14:paraId="3D5FE441" w14:textId="77777777" w:rsidR="00DF711D" w:rsidRPr="00B76D54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7C0BB0D7" w14:textId="77F3CAA6" w:rsidR="00F20BDB" w:rsidRPr="00B76D54" w:rsidRDefault="00F20BDB" w:rsidP="000240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Žiadosť podpísanú</w:t>
      </w:r>
      <w:r w:rsidR="0002407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štatutárnym orgánom žiadateľa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doručí žiadateľ</w:t>
      </w:r>
      <w:r w:rsidR="0002407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1959C0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na adresu </w:t>
      </w:r>
      <w:r w:rsidR="00024078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MPSVR SR</w:t>
      </w:r>
      <w:r w:rsidR="001959C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Špitálska 4, 6, 8, 816 43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Bratislava (Obálka musí byť označená „Žiadosť </w:t>
      </w:r>
      <w:r w:rsidR="0083133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NP PKS/2.1/1/2025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“), </w:t>
      </w:r>
      <w:r w:rsidR="0002407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alebo zašle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prostredníctvom Ústredného portálu verejnej správy s označením</w:t>
      </w:r>
      <w:r w:rsidR="00A0035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 časti „Všeobecná agenda“ </w:t>
      </w:r>
      <w:r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Žiadosť o zapojenie sa do NP PKS</w:t>
      </w:r>
      <w:r w:rsidR="00A00353"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/Odbor sociálnych služieb</w:t>
      </w:r>
      <w:r w:rsidR="00892026"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.</w:t>
      </w:r>
    </w:p>
    <w:p w14:paraId="677B79FC" w14:textId="77777777" w:rsidR="00024078" w:rsidRPr="00B76D54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0703A57F" w14:textId="77777777" w:rsidR="00296D07" w:rsidRPr="00B76D54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Za deň predloženia žiadosti sa považuje</w:t>
      </w:r>
      <w:r w:rsidR="00296D0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:</w:t>
      </w:r>
    </w:p>
    <w:p w14:paraId="31F0B0A9" w14:textId="37702747" w:rsidR="00296D07" w:rsidRPr="00B76D54" w:rsidRDefault="00296D07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dátum doručenia žiadosti do podateľne Poskytovateľa</w:t>
      </w:r>
      <w:r w:rsidR="00CA403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  <w:r w:rsidR="00EC4B4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</w:p>
    <w:p w14:paraId="79B60DB8" w14:textId="366985C5" w:rsidR="00024078" w:rsidRPr="00B76D54" w:rsidRDefault="00024078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093D986F" w14:textId="1FEA43C5" w:rsidR="00CA4037" w:rsidRPr="00B76D54" w:rsidRDefault="004851DC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d</w:t>
      </w:r>
      <w:r w:rsidR="00CA4037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átum odoslania Žiadosti cez Ústredný portál verejnej správy</w:t>
      </w:r>
      <w:r w:rsidR="00ED41D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290BA295" w14:textId="77777777" w:rsidR="00CA4037" w:rsidRPr="00B76D54" w:rsidRDefault="00CA4037" w:rsidP="000240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5839533D" w14:textId="54BE7141" w:rsidR="00024078" w:rsidRPr="00B76D54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Pr="00B76D54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3B54B3AC" w14:textId="77777777" w:rsidR="00401C41" w:rsidRPr="00B76D54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9</w:t>
      </w:r>
      <w:r w:rsidR="00401C41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 HODNOTENIE A VÝBER PREDLOŽENÝCH ŽIADOSTÍ</w:t>
      </w:r>
      <w:r w:rsidR="00D565D5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O ZAPOJENIE</w:t>
      </w:r>
    </w:p>
    <w:p w14:paraId="51CAFCEC" w14:textId="77777777" w:rsidR="00CF1B39" w:rsidRPr="00B76D54" w:rsidRDefault="000A2504" w:rsidP="000B40F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Počas </w:t>
      </w:r>
      <w:r w:rsidR="0007112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realizácie NP PKS (do 11</w:t>
      </w:r>
      <w:r w:rsidR="00A771C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/2028</w:t>
      </w:r>
      <w:r w:rsidR="000B40F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 budú uzat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várané</w:t>
      </w:r>
      <w:r w:rsidR="000B40F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zmluvy o spolupráci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 celkovo 24</w:t>
      </w:r>
      <w:r w:rsidR="0083133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poskytovateľmi</w:t>
      </w:r>
      <w:r w:rsidR="000B40F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. </w:t>
      </w:r>
      <w:r w:rsidR="0083133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Každý poskytovateľ</w:t>
      </w:r>
      <w:r w:rsidR="0007112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40140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bude zapojený </w:t>
      </w:r>
      <w:r w:rsidR="0007112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 projekte maximálne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30</w:t>
      </w:r>
      <w:r w:rsidR="000B40F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mesiacov</w:t>
      </w:r>
      <w:r w:rsidR="0007112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 P</w:t>
      </w:r>
      <w:r w:rsidR="000B40F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očet mesiacov zapojenia bude vychádzať z</w:t>
      </w:r>
      <w:r w:rsidR="0075731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 potreby a vzájomnej dohody </w:t>
      </w:r>
      <w:r w:rsidR="009353CB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poskytovateľov </w:t>
      </w:r>
      <w:r w:rsidR="0075731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a užívateľov projektu, ktorí budú intervencie realizovať. </w:t>
      </w:r>
    </w:p>
    <w:p w14:paraId="3B7D9531" w14:textId="3549DFCA" w:rsidR="000B40F9" w:rsidRPr="00B76D54" w:rsidRDefault="00CF1B39" w:rsidP="000B40F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 rámci tohto oznámenia MPSVR SR zapojí do projektu 12 poskytovateľov. </w:t>
      </w:r>
    </w:p>
    <w:p w14:paraId="599F8727" w14:textId="779AFFD4" w:rsidR="00972903" w:rsidRPr="00B76D54" w:rsidRDefault="00972903" w:rsidP="000B40F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5810B729" w14:textId="0E9275BE" w:rsidR="00972903" w:rsidRPr="00B76D54" w:rsidRDefault="00972903" w:rsidP="009729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MPSVR SR vykoná v lehote </w:t>
      </w:r>
      <w:r w:rsidR="0007112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10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pracovných dní </w:t>
      </w:r>
      <w:r w:rsidR="0007112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od doručenia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žiadosti administratívnu kontrolu doruče</w:t>
      </w:r>
      <w:r w:rsidR="0083133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ných žiadostí. Skontroluje, či ž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iadosť obsahuje všetky náležitosti vrátane všetkých jej príloh.</w:t>
      </w:r>
    </w:p>
    <w:p w14:paraId="144F917D" w14:textId="77777777" w:rsidR="00BE06AB" w:rsidRPr="00B76D54" w:rsidRDefault="00BE06AB" w:rsidP="009729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4B8D29F9" w14:textId="2BCC9FB0" w:rsidR="00972903" w:rsidRPr="00B76D54" w:rsidRDefault="00312A37" w:rsidP="009729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V  prípade, ak</w:t>
      </w:r>
      <w:r w:rsidR="0075731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žiadosť nie je kompletná,  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MPSVR SR  prostredníctvom e-mailu </w:t>
      </w:r>
      <w:r w:rsidR="00B118B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(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uvedeného v</w:t>
      </w:r>
      <w:r w:rsidR="00B118B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žiadosti</w:t>
      </w:r>
      <w:r w:rsidR="00B118B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vyzve žiadateľa na doplnenie chýbajúcich príloh. Žiadateľ je povinný poslať dodatočne poštou chýbajúce prílohy</w:t>
      </w:r>
      <w:r w:rsidR="00B118B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a to do 10 pracovných dní od doručenia e</w:t>
      </w:r>
      <w:r w:rsidR="00D47B6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-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mailu s výzvou na doplnenie chýbajúcich príloh. Pri stanovení lehoty doručenia </w:t>
      </w:r>
      <w:r w:rsidR="001357E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písomnosti platí podmienka uvedená v bode 8 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 V opodstatnených prípadoch je možné požiadať o predĺženie lehoty. V prípade, ak tak žiadateľ neurobí, žiadosť nebude považovaná za ko</w:t>
      </w:r>
      <w:r w:rsidR="0075731C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mpletnú. Nekompletné žiadosti </w:t>
      </w:r>
      <w:r w:rsidR="00CF1B3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ne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budú postúpené k</w:t>
      </w:r>
      <w:r w:rsidR="00385A6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hodnoteniu</w:t>
      </w:r>
      <w:r w:rsidR="009729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</w:p>
    <w:p w14:paraId="01900CD4" w14:textId="77777777" w:rsidR="00BE06AB" w:rsidRPr="00B76D54" w:rsidRDefault="00BE06AB" w:rsidP="00B93A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5ECF9348" w14:textId="5BF8E925" w:rsidR="00417980" w:rsidRPr="00B76D54" w:rsidRDefault="00972903" w:rsidP="00B93A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lastRenderedPageBreak/>
        <w:t>Hodnotenie</w:t>
      </w:r>
      <w:r w:rsidR="003A059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D47B6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bude vychádzať z údajov, ktoré žiadateľ uvedie v žiadosti a jej prílohách.</w:t>
      </w:r>
      <w:r w:rsidR="003A059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CA7D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Žiadosti budú hodnotené podľa Kritérií pre výber </w:t>
      </w:r>
      <w:r w:rsidR="00C8524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poskytovateľov sociálnych služieb</w:t>
      </w:r>
      <w:r w:rsidR="00CA7D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 národnom projekte „</w:t>
      </w:r>
      <w:r w:rsidR="00EF40D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 kvalitných sociálnych služieb</w:t>
      </w:r>
      <w:r w:rsidR="00CA7D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344B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(ďalej</w:t>
      </w:r>
      <w:r w:rsidR="00381BA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len „</w:t>
      </w:r>
      <w:r w:rsidR="00344B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Kritériá</w:t>
      </w:r>
      <w:r w:rsidR="00381BA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  <w:r w:rsidR="00344B0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)</w:t>
      </w:r>
      <w:r w:rsidR="00CA7D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 Na základe hodnotenia bude vytvoren</w:t>
      </w:r>
      <w:r w:rsidR="00D602E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ý zoznam</w:t>
      </w:r>
      <w:r w:rsidR="00CA7D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poradi</w:t>
      </w:r>
      <w:r w:rsidR="00D602E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</w:t>
      </w:r>
      <w:r w:rsidR="00CA7D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žiadateľov podľa získaného počtu bodov</w:t>
      </w:r>
      <w:r w:rsidR="00EF40D5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</w:t>
      </w:r>
      <w:r w:rsidR="00CF1B39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417980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O výsledku hodnotenia budú žiadatelia informovaní elektronicky prostredníctvom e-mailu.</w:t>
      </w:r>
    </w:p>
    <w:p w14:paraId="10BF0B9F" w14:textId="77777777" w:rsidR="00417980" w:rsidRPr="00B76D54" w:rsidRDefault="00417980" w:rsidP="00B93A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p w14:paraId="16A7CCAC" w14:textId="0690D303" w:rsidR="00972903" w:rsidRPr="00B76D54" w:rsidRDefault="00CF1B39" w:rsidP="009729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Vyhodnotenie žiadostí zverejní </w:t>
      </w:r>
      <w:r w:rsidR="00B93A0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MPSVR SR na</w:t>
      </w:r>
      <w:r w:rsidR="00831338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webovom sídle Projektovej kancelárie</w:t>
      </w:r>
      <w:r w:rsidR="00B93A0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hyperlink r:id="rId8" w:history="1">
        <w:r w:rsidR="001357EE" w:rsidRPr="00B76D54">
          <w:rPr>
            <w:rStyle w:val="Hypertextovprepojenie"/>
            <w:color w:val="000000" w:themeColor="text1"/>
          </w:rPr>
          <w:t>Projektová kancelária MPSVR SR</w:t>
        </w:r>
      </w:hyperlink>
      <w:r w:rsidR="001357EE" w:rsidRPr="00B76D54">
        <w:rPr>
          <w:color w:val="000000" w:themeColor="text1"/>
        </w:rPr>
        <w:t xml:space="preserve">. </w:t>
      </w:r>
    </w:p>
    <w:p w14:paraId="1CF43CDF" w14:textId="65FB2376" w:rsidR="00A24E82" w:rsidRPr="00B76D54" w:rsidRDefault="00417980" w:rsidP="00A24E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Zmluva o spolupráci bude uzatvorená so žiadateľmi, ktorí získajú najvyšší počet bodov. </w:t>
      </w:r>
      <w:r w:rsidR="00A24E8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 prípade, ak niektorý z úspešných žiadateľov odmietne uzatvoriť Zmluvu o spolupráci, </w:t>
      </w:r>
      <w:r w:rsidR="005410B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alebo ak s úspešným žiadateľom bude mimoriadne ukončená Zmluva o</w:t>
      </w:r>
      <w:r w:rsidR="00ED41D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 </w:t>
      </w:r>
      <w:r w:rsidR="005410B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spolupráci</w:t>
      </w:r>
      <w:r w:rsidR="00ED41D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</w:t>
      </w:r>
      <w:r w:rsidR="005410B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alebo dôjde k odstúpeniu od Zmluvy o spolupráci, a to v čase pred začatím účasti zamestnancov žiadateľa v podaktivitách projektu, </w:t>
      </w:r>
      <w:r w:rsidR="00A24E8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bude </w:t>
      </w:r>
      <w:r w:rsidR="005410B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doplnený počet </w:t>
      </w:r>
      <w:r w:rsidR="00A24E8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žiadateľov o</w:t>
      </w:r>
      <w:r w:rsidR="005410B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 ďalšieho žiadateľa v poradí podľa počtu získaných bodov. </w:t>
      </w:r>
    </w:p>
    <w:p w14:paraId="06074450" w14:textId="76A8ECD8" w:rsidR="00B75753" w:rsidRPr="00B76D54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5FD4709A" w14:textId="604DBB7F" w:rsidR="00401C41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</w:t>
      </w:r>
      <w:r w:rsidR="00360F2F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0</w:t>
      </w: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. POSKYTOVANIE INFORMÁCIÍ K NP </w:t>
      </w:r>
      <w:r w:rsidR="004F3E5F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PKS</w:t>
      </w:r>
    </w:p>
    <w:p w14:paraId="7B4651D8" w14:textId="0EEF3500" w:rsidR="00B75753" w:rsidRPr="00B76D54" w:rsidRDefault="00401C41" w:rsidP="000446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V prípade akýchkoľvek otázok, súvisiacich so zapojením sa do NP </w:t>
      </w:r>
      <w:r w:rsidR="005410BE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PKS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 resp. s podmienkami zapojenia sa žiadateľov do</w:t>
      </w:r>
      <w:r w:rsidR="000446D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tohto projektu, je možné využiť 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e-mail: </w:t>
      </w:r>
      <w:hyperlink r:id="rId9" w:history="1">
        <w:r w:rsidR="00427934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lang w:eastAsia="sk-SK"/>
          </w:rPr>
          <w:t>np.pks@employment.gov.sk</w:t>
        </w:r>
      </w:hyperlink>
      <w:r w:rsidR="000446D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.</w:t>
      </w:r>
    </w:p>
    <w:p w14:paraId="77AA2868" w14:textId="77777777" w:rsidR="000446D3" w:rsidRPr="00B76D54" w:rsidRDefault="000446D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</w:p>
    <w:p w14:paraId="53BEB7D0" w14:textId="77777777" w:rsidR="00401C41" w:rsidRPr="00B76D54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</w:t>
      </w:r>
      <w:r w:rsidR="00360F2F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1</w:t>
      </w: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. PRÍLOHY A INFORMÁCIE K PRÍLOHÁM</w:t>
      </w:r>
    </w:p>
    <w:p w14:paraId="569E9994" w14:textId="538BCF15" w:rsidR="00A53DC5" w:rsidRPr="00B76D54" w:rsidRDefault="00C53661" w:rsidP="00FB79F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hyperlink w:history="1">
        <w:r w:rsidR="00FC79A8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sk-SK"/>
          </w:rPr>
          <w:t>Formulár – ,,Ž</w:t>
        </w:r>
        <w:r w:rsidR="00741247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sk-SK"/>
          </w:rPr>
          <w:t>iadosť o zapojenie do NP PKS</w:t>
        </w:r>
        <w:r w:rsidR="00FC79A8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sk-SK"/>
          </w:rPr>
          <w:t>“ dostupný</w:t>
        </w:r>
        <w:r w:rsidR="00030A14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sk-SK"/>
          </w:rPr>
          <w:t xml:space="preserve"> webovom sídle Projektovej kancelárie</w:t>
        </w:r>
        <w:r w:rsidR="00FC79A8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sk-SK"/>
          </w:rPr>
          <w:t xml:space="preserve"> </w:t>
        </w:r>
        <w:hyperlink r:id="rId10" w:history="1">
          <w:r w:rsidR="000446D3" w:rsidRPr="00B76D54">
            <w:rPr>
              <w:rStyle w:val="Hypertextovprepojenie"/>
              <w:color w:val="000000" w:themeColor="text1"/>
            </w:rPr>
            <w:t>Projektová kancelária MPSVR SR</w:t>
          </w:r>
        </w:hyperlink>
        <w:r w:rsidR="000446D3" w:rsidRPr="00B76D54">
          <w:rPr>
            <w:rStyle w:val="Hypertextovprepojenie"/>
            <w:rFonts w:ascii="Arial" w:eastAsia="Times New Roman" w:hAnsi="Arial" w:cs="Arial"/>
            <w:color w:val="000000" w:themeColor="text1"/>
            <w:sz w:val="20"/>
            <w:szCs w:val="20"/>
            <w:u w:val="none"/>
            <w:lang w:eastAsia="sk-SK"/>
          </w:rPr>
          <w:t xml:space="preserve"> </w:t>
        </w:r>
      </w:hyperlink>
      <w:r w:rsidR="00401C41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. </w:t>
      </w:r>
    </w:p>
    <w:p w14:paraId="3E607634" w14:textId="78C57D0C" w:rsidR="00073386" w:rsidRPr="00B76D54" w:rsidRDefault="00A53DC5" w:rsidP="00F308D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Kritéri</w:t>
      </w:r>
      <w:r w:rsidR="005842B2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á</w:t>
      </w:r>
      <w:r w:rsidR="000446D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pre výber </w:t>
      </w:r>
      <w:r w:rsidR="00030A14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poskytovateľov sociálnych služieb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v národnom projekte „</w:t>
      </w:r>
      <w:r w:rsidR="000446D3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Podpora poskytovania komunitných a kvalitných sociálnych služieb</w:t>
      </w:r>
      <w:r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“</w:t>
      </w:r>
    </w:p>
    <w:p w14:paraId="159D9B25" w14:textId="71EE4086" w:rsidR="00BC71FD" w:rsidRPr="00B76D54" w:rsidRDefault="00C53661" w:rsidP="00BC71F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  <w:hyperlink r:id="rId11" w:history="1">
        <w:r w:rsidR="00BC71FD" w:rsidRPr="00B76D54">
          <w:rPr>
            <w:rFonts w:ascii="Arial" w:eastAsia="Times New Roman" w:hAnsi="Arial" w:cs="Arial"/>
            <w:color w:val="000000" w:themeColor="text1"/>
            <w:sz w:val="20"/>
            <w:szCs w:val="20"/>
            <w:lang w:eastAsia="sk-SK"/>
          </w:rPr>
          <w:t>Návrh zmluvy o spolupráci</w:t>
        </w:r>
      </w:hyperlink>
      <w:r w:rsidR="00BC71FD" w:rsidRPr="00B76D5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so zariadením sociálnych služieb</w:t>
      </w:r>
    </w:p>
    <w:p w14:paraId="729EBECE" w14:textId="1F0C29FB" w:rsidR="00CC7BAC" w:rsidRPr="00B76D54" w:rsidRDefault="00CC7BAC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30B34DDD" w14:textId="77777777" w:rsidR="00987303" w:rsidRPr="00B76D54" w:rsidRDefault="00987303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56781E80" w14:textId="77777777" w:rsidR="002203C0" w:rsidRPr="00B76D54" w:rsidRDefault="002203C0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1654603F" w14:textId="51688550" w:rsidR="00073386" w:rsidRPr="00B76D54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B76D54">
        <w:rPr>
          <w:rFonts w:ascii="Arial" w:hAnsi="Arial" w:cs="Arial"/>
          <w:color w:val="000000" w:themeColor="text1"/>
          <w:sz w:val="20"/>
          <w:szCs w:val="20"/>
        </w:rPr>
        <w:t>Schválil</w:t>
      </w:r>
      <w:r w:rsidR="00E30B64" w:rsidRPr="00B76D54">
        <w:rPr>
          <w:rFonts w:ascii="Arial" w:hAnsi="Arial" w:cs="Arial"/>
          <w:color w:val="000000" w:themeColor="text1"/>
          <w:sz w:val="20"/>
          <w:szCs w:val="20"/>
        </w:rPr>
        <w:t>/a</w:t>
      </w:r>
      <w:r w:rsidRPr="00B76D5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FCFED1" w14:textId="6E2DBEEC" w:rsidR="00073386" w:rsidRPr="00B76D54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6C025626" w14:textId="19769332" w:rsidR="000446D3" w:rsidRPr="00B76D54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74F9B0D7" w14:textId="77777777" w:rsidR="000446D3" w:rsidRPr="00B76D54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2DC87F07" w14:textId="77777777" w:rsidR="00073386" w:rsidRPr="00B76D54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7FBE06FB" w14:textId="77777777" w:rsidR="00073386" w:rsidRPr="00B76D54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381ECA6A" w14:textId="02798B7E" w:rsidR="00073386" w:rsidRPr="00B76D54" w:rsidRDefault="00892026" w:rsidP="00892026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 xml:space="preserve">                                                                    </w:t>
      </w:r>
      <w:r w:rsidR="00AB0709" w:rsidRPr="00B76D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k-SK"/>
        </w:rPr>
        <w:t>Mgr</w:t>
      </w:r>
      <w:r w:rsidR="00AB0709" w:rsidRPr="00B76D5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. Jana Krausová Daniš</w:t>
      </w:r>
    </w:p>
    <w:p w14:paraId="2DDEEDEE" w14:textId="7CB8B24B" w:rsidR="00417980" w:rsidRPr="00B76D54" w:rsidRDefault="00417980" w:rsidP="00982EB4">
      <w:pPr>
        <w:pStyle w:val="Odsekzoznamu"/>
        <w:spacing w:after="0" w:line="240" w:lineRule="auto"/>
        <w:ind w:left="2832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76D54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AB0709" w:rsidRPr="00B76D54">
        <w:rPr>
          <w:rFonts w:ascii="Arial" w:hAnsi="Arial" w:cs="Arial"/>
          <w:color w:val="000000" w:themeColor="text1"/>
          <w:sz w:val="20"/>
          <w:szCs w:val="20"/>
        </w:rPr>
        <w:t>generálna</w:t>
      </w:r>
      <w:r w:rsidR="00553B04" w:rsidRPr="00B76D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0709" w:rsidRPr="00B76D54">
        <w:rPr>
          <w:rFonts w:ascii="Arial" w:hAnsi="Arial" w:cs="Arial"/>
          <w:color w:val="000000" w:themeColor="text1"/>
          <w:sz w:val="20"/>
          <w:szCs w:val="20"/>
        </w:rPr>
        <w:t>riaditeľka</w:t>
      </w:r>
      <w:r w:rsidR="00073386" w:rsidRPr="00B76D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0480879" w14:textId="1112360B" w:rsidR="00073386" w:rsidRPr="00B76D54" w:rsidRDefault="00417980" w:rsidP="00982EB4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76D54">
        <w:rPr>
          <w:rFonts w:ascii="Arial" w:hAnsi="Arial" w:cs="Arial"/>
          <w:color w:val="000000" w:themeColor="text1"/>
          <w:sz w:val="20"/>
          <w:szCs w:val="20"/>
        </w:rPr>
        <w:t xml:space="preserve">                 P</w:t>
      </w:r>
      <w:r w:rsidR="00D02D84" w:rsidRPr="00B76D54">
        <w:rPr>
          <w:rFonts w:ascii="Arial" w:hAnsi="Arial" w:cs="Arial"/>
          <w:color w:val="000000" w:themeColor="text1"/>
          <w:sz w:val="20"/>
          <w:szCs w:val="20"/>
        </w:rPr>
        <w:t>rojektov</w:t>
      </w:r>
      <w:r w:rsidRPr="00B76D54">
        <w:rPr>
          <w:rFonts w:ascii="Arial" w:hAnsi="Arial" w:cs="Arial"/>
          <w:color w:val="000000" w:themeColor="text1"/>
          <w:sz w:val="20"/>
          <w:szCs w:val="20"/>
        </w:rPr>
        <w:t>á</w:t>
      </w:r>
      <w:r w:rsidR="00D02D84" w:rsidRPr="00B76D54">
        <w:rPr>
          <w:rFonts w:ascii="Arial" w:hAnsi="Arial" w:cs="Arial"/>
          <w:color w:val="000000" w:themeColor="text1"/>
          <w:sz w:val="20"/>
          <w:szCs w:val="20"/>
        </w:rPr>
        <w:t xml:space="preserve"> kancelári</w:t>
      </w:r>
      <w:r w:rsidRPr="00B76D54">
        <w:rPr>
          <w:rFonts w:ascii="Arial" w:hAnsi="Arial" w:cs="Arial"/>
          <w:color w:val="000000" w:themeColor="text1"/>
          <w:sz w:val="20"/>
          <w:szCs w:val="20"/>
        </w:rPr>
        <w:t>a</w:t>
      </w:r>
      <w:r w:rsidR="00D02D84" w:rsidRPr="00B76D54">
        <w:rPr>
          <w:rFonts w:ascii="Arial" w:hAnsi="Arial" w:cs="Arial"/>
          <w:color w:val="000000" w:themeColor="text1"/>
          <w:sz w:val="20"/>
          <w:szCs w:val="20"/>
        </w:rPr>
        <w:t xml:space="preserve"> MPSVR SR</w:t>
      </w:r>
    </w:p>
    <w:sectPr w:rsidR="00073386" w:rsidRPr="00B76D54" w:rsidSect="00F071C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547FB2" w16cex:dateUtc="2025-03-07T12:58:00Z"/>
  <w16cex:commentExtensible w16cex:durableId="7883354C" w16cex:dateUtc="2025-03-07T12:45:00Z"/>
  <w16cex:commentExtensible w16cex:durableId="1B0E9D7B" w16cex:dateUtc="2025-03-07T13:21:00Z"/>
  <w16cex:commentExtensible w16cex:durableId="61C471E2" w16cex:dateUtc="2025-03-09T18:21:00Z"/>
  <w16cex:commentExtensible w16cex:durableId="14E835A0" w16cex:dateUtc="2025-03-10T07:34:00Z"/>
  <w16cex:commentExtensible w16cex:durableId="17E646B7" w16cex:dateUtc="2025-03-10T07:51:00Z"/>
  <w16cex:commentExtensible w16cex:durableId="4DAA6E91" w16cex:dateUtc="2025-03-10T07:49:00Z"/>
  <w16cex:commentExtensible w16cex:durableId="08FF2914" w16cex:dateUtc="2025-03-1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70B8B5" w16cid:durableId="38547FB2"/>
  <w16cid:commentId w16cid:paraId="1B9C72E1" w16cid:durableId="7883354C"/>
  <w16cid:commentId w16cid:paraId="58DCE89A" w16cid:durableId="1B0E9D7B"/>
  <w16cid:commentId w16cid:paraId="220B063C" w16cid:durableId="61C471E2"/>
  <w16cid:commentId w16cid:paraId="580DCF7E" w16cid:durableId="14E835A0"/>
  <w16cid:commentId w16cid:paraId="0E157BE7" w16cid:durableId="17E646B7"/>
  <w16cid:commentId w16cid:paraId="30359CAE" w16cid:durableId="4DAA6E91"/>
  <w16cid:commentId w16cid:paraId="44AA75FA" w16cid:durableId="08FF29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521A" w14:textId="77777777" w:rsidR="00C53661" w:rsidRDefault="00C53661" w:rsidP="00371833">
      <w:pPr>
        <w:spacing w:after="0" w:line="240" w:lineRule="auto"/>
      </w:pPr>
      <w:r>
        <w:separator/>
      </w:r>
    </w:p>
  </w:endnote>
  <w:endnote w:type="continuationSeparator" w:id="0">
    <w:p w14:paraId="24A194D0" w14:textId="77777777" w:rsidR="00C53661" w:rsidRDefault="00C53661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6DC8B44B" w:rsidR="00371833" w:rsidRDefault="00EB47E9">
        <w:pPr>
          <w:pStyle w:val="Pta"/>
          <w:jc w:val="right"/>
        </w:pPr>
        <w:r>
          <w:fldChar w:fldCharType="begin"/>
        </w:r>
        <w:r w:rsidR="00D11284">
          <w:instrText xml:space="preserve"> PAGE   \* MERGEFORMAT </w:instrText>
        </w:r>
        <w:r>
          <w:fldChar w:fldCharType="separate"/>
        </w:r>
        <w:r w:rsidR="00B76D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B2F574" w14:textId="77777777" w:rsidR="00371833" w:rsidRDefault="003718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AF32" w14:textId="77777777" w:rsidR="00C53661" w:rsidRDefault="00C53661" w:rsidP="00371833">
      <w:pPr>
        <w:spacing w:after="0" w:line="240" w:lineRule="auto"/>
      </w:pPr>
      <w:r>
        <w:separator/>
      </w:r>
    </w:p>
  </w:footnote>
  <w:footnote w:type="continuationSeparator" w:id="0">
    <w:p w14:paraId="413C5635" w14:textId="77777777" w:rsidR="00C53661" w:rsidRDefault="00C53661" w:rsidP="003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64"/>
    <w:multiLevelType w:val="multilevel"/>
    <w:tmpl w:val="BE9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A7"/>
    <w:multiLevelType w:val="hybridMultilevel"/>
    <w:tmpl w:val="7ABC1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279"/>
    <w:multiLevelType w:val="hybridMultilevel"/>
    <w:tmpl w:val="FBE8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9C7"/>
    <w:multiLevelType w:val="multilevel"/>
    <w:tmpl w:val="E3EC6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4C8E"/>
    <w:multiLevelType w:val="hybridMultilevel"/>
    <w:tmpl w:val="5DBEB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A68"/>
    <w:multiLevelType w:val="multilevel"/>
    <w:tmpl w:val="64E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F4CBA"/>
    <w:multiLevelType w:val="hybridMultilevel"/>
    <w:tmpl w:val="8F32F1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9B1"/>
    <w:multiLevelType w:val="multilevel"/>
    <w:tmpl w:val="35EE5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455E9"/>
    <w:multiLevelType w:val="hybridMultilevel"/>
    <w:tmpl w:val="17AA1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3ADF"/>
    <w:multiLevelType w:val="multilevel"/>
    <w:tmpl w:val="53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DD5336"/>
    <w:multiLevelType w:val="hybridMultilevel"/>
    <w:tmpl w:val="011E1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40E7E"/>
    <w:multiLevelType w:val="hybridMultilevel"/>
    <w:tmpl w:val="2E6686E0"/>
    <w:lvl w:ilvl="0" w:tplc="C4D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C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6D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73391"/>
    <w:multiLevelType w:val="hybridMultilevel"/>
    <w:tmpl w:val="52D4E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4377"/>
    <w:multiLevelType w:val="hybridMultilevel"/>
    <w:tmpl w:val="F03499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74063"/>
    <w:multiLevelType w:val="multilevel"/>
    <w:tmpl w:val="D3E45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F2CFD"/>
    <w:multiLevelType w:val="hybridMultilevel"/>
    <w:tmpl w:val="C9A8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BBD"/>
    <w:multiLevelType w:val="hybridMultilevel"/>
    <w:tmpl w:val="4F2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32FC2"/>
    <w:multiLevelType w:val="hybridMultilevel"/>
    <w:tmpl w:val="7790608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50B"/>
    <w:multiLevelType w:val="multilevel"/>
    <w:tmpl w:val="C2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C688E"/>
    <w:multiLevelType w:val="hybridMultilevel"/>
    <w:tmpl w:val="A9D26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EBA"/>
    <w:multiLevelType w:val="multilevel"/>
    <w:tmpl w:val="160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42654"/>
    <w:multiLevelType w:val="multilevel"/>
    <w:tmpl w:val="576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F37B3"/>
    <w:multiLevelType w:val="multilevel"/>
    <w:tmpl w:val="1E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2433BA"/>
    <w:multiLevelType w:val="multilevel"/>
    <w:tmpl w:val="5FF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C7DE8"/>
    <w:multiLevelType w:val="multilevel"/>
    <w:tmpl w:val="0C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E7FAF"/>
    <w:multiLevelType w:val="hybridMultilevel"/>
    <w:tmpl w:val="400EB082"/>
    <w:lvl w:ilvl="0" w:tplc="8BF24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869051C"/>
    <w:multiLevelType w:val="hybridMultilevel"/>
    <w:tmpl w:val="00643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125F8"/>
    <w:multiLevelType w:val="multilevel"/>
    <w:tmpl w:val="9E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5106B"/>
    <w:multiLevelType w:val="hybridMultilevel"/>
    <w:tmpl w:val="259E9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312"/>
    <w:multiLevelType w:val="hybridMultilevel"/>
    <w:tmpl w:val="C7E67A24"/>
    <w:lvl w:ilvl="0" w:tplc="1632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40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A5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C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1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AB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4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305C9"/>
    <w:multiLevelType w:val="hybridMultilevel"/>
    <w:tmpl w:val="253CCEB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012C"/>
    <w:multiLevelType w:val="multilevel"/>
    <w:tmpl w:val="248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0F4B"/>
    <w:multiLevelType w:val="hybridMultilevel"/>
    <w:tmpl w:val="A1CEE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31ABA"/>
    <w:multiLevelType w:val="hybridMultilevel"/>
    <w:tmpl w:val="2F12462C"/>
    <w:lvl w:ilvl="0" w:tplc="946E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4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03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E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2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0CE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3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9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E26AF"/>
    <w:multiLevelType w:val="hybridMultilevel"/>
    <w:tmpl w:val="FEB02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77C0C"/>
    <w:multiLevelType w:val="multilevel"/>
    <w:tmpl w:val="68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C3CE1"/>
    <w:multiLevelType w:val="hybridMultilevel"/>
    <w:tmpl w:val="9EAC9AC2"/>
    <w:lvl w:ilvl="0" w:tplc="6EB23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B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5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D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C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8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D56756"/>
    <w:multiLevelType w:val="hybridMultilevel"/>
    <w:tmpl w:val="3544D37E"/>
    <w:lvl w:ilvl="0" w:tplc="FECA2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7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1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7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2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C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C1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0"/>
  </w:num>
  <w:num w:numId="5">
    <w:abstractNumId w:val="9"/>
  </w:num>
  <w:num w:numId="6">
    <w:abstractNumId w:val="31"/>
  </w:num>
  <w:num w:numId="7">
    <w:abstractNumId w:val="11"/>
  </w:num>
  <w:num w:numId="8">
    <w:abstractNumId w:val="23"/>
  </w:num>
  <w:num w:numId="9">
    <w:abstractNumId w:val="20"/>
  </w:num>
  <w:num w:numId="10">
    <w:abstractNumId w:val="24"/>
  </w:num>
  <w:num w:numId="11">
    <w:abstractNumId w:val="36"/>
  </w:num>
  <w:num w:numId="12">
    <w:abstractNumId w:val="16"/>
  </w:num>
  <w:num w:numId="13">
    <w:abstractNumId w:val="3"/>
  </w:num>
  <w:num w:numId="14">
    <w:abstractNumId w:val="28"/>
  </w:num>
  <w:num w:numId="15">
    <w:abstractNumId w:val="7"/>
  </w:num>
  <w:num w:numId="16">
    <w:abstractNumId w:val="15"/>
  </w:num>
  <w:num w:numId="17">
    <w:abstractNumId w:val="22"/>
  </w:num>
  <w:num w:numId="18">
    <w:abstractNumId w:val="38"/>
  </w:num>
  <w:num w:numId="19">
    <w:abstractNumId w:val="18"/>
  </w:num>
  <w:num w:numId="20">
    <w:abstractNumId w:val="29"/>
  </w:num>
  <w:num w:numId="21">
    <w:abstractNumId w:val="30"/>
  </w:num>
  <w:num w:numId="22">
    <w:abstractNumId w:val="1"/>
  </w:num>
  <w:num w:numId="23">
    <w:abstractNumId w:val="6"/>
  </w:num>
  <w:num w:numId="24">
    <w:abstractNumId w:val="2"/>
  </w:num>
  <w:num w:numId="25">
    <w:abstractNumId w:val="4"/>
  </w:num>
  <w:num w:numId="26">
    <w:abstractNumId w:val="19"/>
  </w:num>
  <w:num w:numId="27">
    <w:abstractNumId w:val="33"/>
  </w:num>
  <w:num w:numId="28">
    <w:abstractNumId w:val="41"/>
  </w:num>
  <w:num w:numId="29">
    <w:abstractNumId w:val="26"/>
  </w:num>
  <w:num w:numId="30">
    <w:abstractNumId w:val="12"/>
  </w:num>
  <w:num w:numId="31">
    <w:abstractNumId w:val="43"/>
  </w:num>
  <w:num w:numId="32">
    <w:abstractNumId w:val="21"/>
  </w:num>
  <w:num w:numId="33">
    <w:abstractNumId w:val="37"/>
  </w:num>
  <w:num w:numId="34">
    <w:abstractNumId w:val="44"/>
  </w:num>
  <w:num w:numId="35">
    <w:abstractNumId w:val="13"/>
  </w:num>
  <w:num w:numId="36">
    <w:abstractNumId w:val="34"/>
  </w:num>
  <w:num w:numId="37">
    <w:abstractNumId w:val="39"/>
  </w:num>
  <w:num w:numId="38">
    <w:abstractNumId w:val="42"/>
  </w:num>
  <w:num w:numId="39">
    <w:abstractNumId w:val="10"/>
  </w:num>
  <w:num w:numId="40">
    <w:abstractNumId w:val="8"/>
  </w:num>
  <w:num w:numId="41">
    <w:abstractNumId w:val="40"/>
  </w:num>
  <w:num w:numId="42">
    <w:abstractNumId w:val="17"/>
  </w:num>
  <w:num w:numId="43">
    <w:abstractNumId w:val="32"/>
  </w:num>
  <w:num w:numId="44">
    <w:abstractNumId w:val="1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11632"/>
    <w:rsid w:val="000142AA"/>
    <w:rsid w:val="00016D23"/>
    <w:rsid w:val="00016E25"/>
    <w:rsid w:val="00017565"/>
    <w:rsid w:val="00017F5A"/>
    <w:rsid w:val="00021798"/>
    <w:rsid w:val="00022A19"/>
    <w:rsid w:val="00024078"/>
    <w:rsid w:val="00030557"/>
    <w:rsid w:val="00030A14"/>
    <w:rsid w:val="00035724"/>
    <w:rsid w:val="00041324"/>
    <w:rsid w:val="00041E56"/>
    <w:rsid w:val="00043E44"/>
    <w:rsid w:val="00043FEF"/>
    <w:rsid w:val="000446D3"/>
    <w:rsid w:val="000533E9"/>
    <w:rsid w:val="000564B0"/>
    <w:rsid w:val="0006079E"/>
    <w:rsid w:val="00064495"/>
    <w:rsid w:val="00064F96"/>
    <w:rsid w:val="00065845"/>
    <w:rsid w:val="00071122"/>
    <w:rsid w:val="00073386"/>
    <w:rsid w:val="00087C9F"/>
    <w:rsid w:val="0009452F"/>
    <w:rsid w:val="000A13C3"/>
    <w:rsid w:val="000A2504"/>
    <w:rsid w:val="000A2F1D"/>
    <w:rsid w:val="000B220C"/>
    <w:rsid w:val="000B40F9"/>
    <w:rsid w:val="000B54EC"/>
    <w:rsid w:val="000C1954"/>
    <w:rsid w:val="000C23D7"/>
    <w:rsid w:val="000C31FF"/>
    <w:rsid w:val="000C58D1"/>
    <w:rsid w:val="000C7266"/>
    <w:rsid w:val="000D09BF"/>
    <w:rsid w:val="000F6ACD"/>
    <w:rsid w:val="00101AA0"/>
    <w:rsid w:val="00103609"/>
    <w:rsid w:val="00106C98"/>
    <w:rsid w:val="00106E43"/>
    <w:rsid w:val="00113DA9"/>
    <w:rsid w:val="00125FAE"/>
    <w:rsid w:val="00134F38"/>
    <w:rsid w:val="001357EE"/>
    <w:rsid w:val="00136C99"/>
    <w:rsid w:val="001406B3"/>
    <w:rsid w:val="001415BD"/>
    <w:rsid w:val="001448CE"/>
    <w:rsid w:val="00145006"/>
    <w:rsid w:val="00145E26"/>
    <w:rsid w:val="0016256A"/>
    <w:rsid w:val="00163FD4"/>
    <w:rsid w:val="00170124"/>
    <w:rsid w:val="00172016"/>
    <w:rsid w:val="00176354"/>
    <w:rsid w:val="0018293C"/>
    <w:rsid w:val="0018406E"/>
    <w:rsid w:val="00185C89"/>
    <w:rsid w:val="00194500"/>
    <w:rsid w:val="001959C0"/>
    <w:rsid w:val="001A5372"/>
    <w:rsid w:val="001A5AF4"/>
    <w:rsid w:val="001C3FA0"/>
    <w:rsid w:val="001D37E1"/>
    <w:rsid w:val="001E087A"/>
    <w:rsid w:val="001E6F50"/>
    <w:rsid w:val="001E7047"/>
    <w:rsid w:val="001F1685"/>
    <w:rsid w:val="001F5182"/>
    <w:rsid w:val="00207CFF"/>
    <w:rsid w:val="00215519"/>
    <w:rsid w:val="00215A8C"/>
    <w:rsid w:val="002203C0"/>
    <w:rsid w:val="002219B7"/>
    <w:rsid w:val="002428B5"/>
    <w:rsid w:val="002438D0"/>
    <w:rsid w:val="00245CED"/>
    <w:rsid w:val="00254397"/>
    <w:rsid w:val="00264742"/>
    <w:rsid w:val="00264E62"/>
    <w:rsid w:val="00265861"/>
    <w:rsid w:val="00276371"/>
    <w:rsid w:val="0028777C"/>
    <w:rsid w:val="0029022F"/>
    <w:rsid w:val="00291152"/>
    <w:rsid w:val="00296D07"/>
    <w:rsid w:val="002A0931"/>
    <w:rsid w:val="002A3EE1"/>
    <w:rsid w:val="002B2221"/>
    <w:rsid w:val="002B4E71"/>
    <w:rsid w:val="002B68F2"/>
    <w:rsid w:val="002C4537"/>
    <w:rsid w:val="002D010B"/>
    <w:rsid w:val="002D1091"/>
    <w:rsid w:val="002E2254"/>
    <w:rsid w:val="002F1E03"/>
    <w:rsid w:val="002F2DC8"/>
    <w:rsid w:val="002F65FD"/>
    <w:rsid w:val="00312A37"/>
    <w:rsid w:val="00316CFB"/>
    <w:rsid w:val="003213A9"/>
    <w:rsid w:val="00321689"/>
    <w:rsid w:val="00325C19"/>
    <w:rsid w:val="00331FD6"/>
    <w:rsid w:val="00343C2E"/>
    <w:rsid w:val="00344B03"/>
    <w:rsid w:val="0035095C"/>
    <w:rsid w:val="00357D0E"/>
    <w:rsid w:val="00360F2F"/>
    <w:rsid w:val="003672B7"/>
    <w:rsid w:val="00370CC6"/>
    <w:rsid w:val="00371833"/>
    <w:rsid w:val="00371E1E"/>
    <w:rsid w:val="00376A87"/>
    <w:rsid w:val="0037710E"/>
    <w:rsid w:val="00381BA8"/>
    <w:rsid w:val="00384D51"/>
    <w:rsid w:val="00385A61"/>
    <w:rsid w:val="00396071"/>
    <w:rsid w:val="003A0591"/>
    <w:rsid w:val="003C3402"/>
    <w:rsid w:val="003C4A63"/>
    <w:rsid w:val="003D4F1E"/>
    <w:rsid w:val="003D7751"/>
    <w:rsid w:val="003E0181"/>
    <w:rsid w:val="003E1CDD"/>
    <w:rsid w:val="003E37FE"/>
    <w:rsid w:val="003E6ADA"/>
    <w:rsid w:val="003F130C"/>
    <w:rsid w:val="00401261"/>
    <w:rsid w:val="00401400"/>
    <w:rsid w:val="00401C41"/>
    <w:rsid w:val="00413810"/>
    <w:rsid w:val="004148A7"/>
    <w:rsid w:val="00417980"/>
    <w:rsid w:val="004242DF"/>
    <w:rsid w:val="004246A7"/>
    <w:rsid w:val="00427683"/>
    <w:rsid w:val="00427926"/>
    <w:rsid w:val="00427934"/>
    <w:rsid w:val="0043125F"/>
    <w:rsid w:val="0043469D"/>
    <w:rsid w:val="004461E9"/>
    <w:rsid w:val="00453F3C"/>
    <w:rsid w:val="00473E04"/>
    <w:rsid w:val="00476D0E"/>
    <w:rsid w:val="00477041"/>
    <w:rsid w:val="004817D1"/>
    <w:rsid w:val="00483283"/>
    <w:rsid w:val="004851DC"/>
    <w:rsid w:val="0048622C"/>
    <w:rsid w:val="004911EC"/>
    <w:rsid w:val="00493553"/>
    <w:rsid w:val="0049530B"/>
    <w:rsid w:val="00495438"/>
    <w:rsid w:val="0049689B"/>
    <w:rsid w:val="004A2456"/>
    <w:rsid w:val="004A4969"/>
    <w:rsid w:val="004A5433"/>
    <w:rsid w:val="004A6722"/>
    <w:rsid w:val="004B1469"/>
    <w:rsid w:val="004B14FF"/>
    <w:rsid w:val="004B40F9"/>
    <w:rsid w:val="004C2F57"/>
    <w:rsid w:val="004D047A"/>
    <w:rsid w:val="004D5097"/>
    <w:rsid w:val="004D5D9D"/>
    <w:rsid w:val="004D66EC"/>
    <w:rsid w:val="004E3C82"/>
    <w:rsid w:val="004F0AE8"/>
    <w:rsid w:val="004F22C7"/>
    <w:rsid w:val="004F3E5F"/>
    <w:rsid w:val="004F55A8"/>
    <w:rsid w:val="004F6258"/>
    <w:rsid w:val="005052E7"/>
    <w:rsid w:val="00505F3B"/>
    <w:rsid w:val="00510425"/>
    <w:rsid w:val="00513C11"/>
    <w:rsid w:val="005242C0"/>
    <w:rsid w:val="005410BE"/>
    <w:rsid w:val="00545AA1"/>
    <w:rsid w:val="005529D7"/>
    <w:rsid w:val="00553B04"/>
    <w:rsid w:val="00565EC9"/>
    <w:rsid w:val="00574B7F"/>
    <w:rsid w:val="00576B58"/>
    <w:rsid w:val="005842B2"/>
    <w:rsid w:val="00590428"/>
    <w:rsid w:val="00595374"/>
    <w:rsid w:val="00596F4E"/>
    <w:rsid w:val="005A01A9"/>
    <w:rsid w:val="005B2FCB"/>
    <w:rsid w:val="005C21CA"/>
    <w:rsid w:val="005C2ADD"/>
    <w:rsid w:val="005D03A7"/>
    <w:rsid w:val="005D3CAA"/>
    <w:rsid w:val="005E0896"/>
    <w:rsid w:val="005E6327"/>
    <w:rsid w:val="005F0A2C"/>
    <w:rsid w:val="005F2B89"/>
    <w:rsid w:val="005F73EC"/>
    <w:rsid w:val="00600E06"/>
    <w:rsid w:val="00623FCC"/>
    <w:rsid w:val="006244AA"/>
    <w:rsid w:val="00630115"/>
    <w:rsid w:val="00631110"/>
    <w:rsid w:val="00632BD1"/>
    <w:rsid w:val="006368D8"/>
    <w:rsid w:val="00636E93"/>
    <w:rsid w:val="00653BFC"/>
    <w:rsid w:val="00657C0D"/>
    <w:rsid w:val="006628BE"/>
    <w:rsid w:val="006650C3"/>
    <w:rsid w:val="006721AC"/>
    <w:rsid w:val="00691C59"/>
    <w:rsid w:val="006928F0"/>
    <w:rsid w:val="006A1CA5"/>
    <w:rsid w:val="006A27C3"/>
    <w:rsid w:val="006B0062"/>
    <w:rsid w:val="006B1C1F"/>
    <w:rsid w:val="006B2E2E"/>
    <w:rsid w:val="006B2E5D"/>
    <w:rsid w:val="006B5AB3"/>
    <w:rsid w:val="006C14AA"/>
    <w:rsid w:val="006C3CA9"/>
    <w:rsid w:val="006C6A9C"/>
    <w:rsid w:val="006D7CE9"/>
    <w:rsid w:val="006E64FD"/>
    <w:rsid w:val="006F4B9B"/>
    <w:rsid w:val="006F6139"/>
    <w:rsid w:val="00705D45"/>
    <w:rsid w:val="007103A5"/>
    <w:rsid w:val="007107C0"/>
    <w:rsid w:val="00714D0B"/>
    <w:rsid w:val="00715128"/>
    <w:rsid w:val="00716B41"/>
    <w:rsid w:val="00724179"/>
    <w:rsid w:val="00734E27"/>
    <w:rsid w:val="00740C26"/>
    <w:rsid w:val="00741247"/>
    <w:rsid w:val="00745242"/>
    <w:rsid w:val="00746C45"/>
    <w:rsid w:val="0075731C"/>
    <w:rsid w:val="007616A3"/>
    <w:rsid w:val="007735EE"/>
    <w:rsid w:val="00781320"/>
    <w:rsid w:val="0078796C"/>
    <w:rsid w:val="007A0FE6"/>
    <w:rsid w:val="007A7734"/>
    <w:rsid w:val="007D11C8"/>
    <w:rsid w:val="007E470D"/>
    <w:rsid w:val="007F07C2"/>
    <w:rsid w:val="007F32EF"/>
    <w:rsid w:val="007F3D77"/>
    <w:rsid w:val="007F45E6"/>
    <w:rsid w:val="0081125E"/>
    <w:rsid w:val="00813045"/>
    <w:rsid w:val="008162C9"/>
    <w:rsid w:val="00831012"/>
    <w:rsid w:val="00831338"/>
    <w:rsid w:val="00834220"/>
    <w:rsid w:val="00840C5A"/>
    <w:rsid w:val="0084305E"/>
    <w:rsid w:val="008465E9"/>
    <w:rsid w:val="00851F07"/>
    <w:rsid w:val="00857161"/>
    <w:rsid w:val="008657CE"/>
    <w:rsid w:val="00873A08"/>
    <w:rsid w:val="00874C2B"/>
    <w:rsid w:val="00880F2F"/>
    <w:rsid w:val="00883563"/>
    <w:rsid w:val="008835D8"/>
    <w:rsid w:val="00890241"/>
    <w:rsid w:val="00892026"/>
    <w:rsid w:val="00897235"/>
    <w:rsid w:val="008C10AC"/>
    <w:rsid w:val="008C4250"/>
    <w:rsid w:val="008D4DAC"/>
    <w:rsid w:val="008D7B18"/>
    <w:rsid w:val="00904CAD"/>
    <w:rsid w:val="009054BE"/>
    <w:rsid w:val="0091021A"/>
    <w:rsid w:val="009155FF"/>
    <w:rsid w:val="009158CC"/>
    <w:rsid w:val="00931C6C"/>
    <w:rsid w:val="009353CB"/>
    <w:rsid w:val="009357ED"/>
    <w:rsid w:val="00941F9E"/>
    <w:rsid w:val="0095150B"/>
    <w:rsid w:val="0096712C"/>
    <w:rsid w:val="00972903"/>
    <w:rsid w:val="00975126"/>
    <w:rsid w:val="00977B27"/>
    <w:rsid w:val="00982EB4"/>
    <w:rsid w:val="009863CE"/>
    <w:rsid w:val="00987303"/>
    <w:rsid w:val="009A62FA"/>
    <w:rsid w:val="009B1F14"/>
    <w:rsid w:val="009B4413"/>
    <w:rsid w:val="009C0968"/>
    <w:rsid w:val="009C0E06"/>
    <w:rsid w:val="009C491B"/>
    <w:rsid w:val="009C4F2B"/>
    <w:rsid w:val="009D0697"/>
    <w:rsid w:val="009D462A"/>
    <w:rsid w:val="009E11B3"/>
    <w:rsid w:val="009F170E"/>
    <w:rsid w:val="00A00266"/>
    <w:rsid w:val="00A00353"/>
    <w:rsid w:val="00A03F3F"/>
    <w:rsid w:val="00A12D78"/>
    <w:rsid w:val="00A1796F"/>
    <w:rsid w:val="00A24E82"/>
    <w:rsid w:val="00A26573"/>
    <w:rsid w:val="00A35328"/>
    <w:rsid w:val="00A35ABD"/>
    <w:rsid w:val="00A41311"/>
    <w:rsid w:val="00A45C3D"/>
    <w:rsid w:val="00A471F5"/>
    <w:rsid w:val="00A503E4"/>
    <w:rsid w:val="00A53DC5"/>
    <w:rsid w:val="00A54F08"/>
    <w:rsid w:val="00A563E9"/>
    <w:rsid w:val="00A57FF8"/>
    <w:rsid w:val="00A60882"/>
    <w:rsid w:val="00A61CF6"/>
    <w:rsid w:val="00A61F08"/>
    <w:rsid w:val="00A66DBC"/>
    <w:rsid w:val="00A738A3"/>
    <w:rsid w:val="00A76EF4"/>
    <w:rsid w:val="00A771C5"/>
    <w:rsid w:val="00A80684"/>
    <w:rsid w:val="00A824F4"/>
    <w:rsid w:val="00A83ED0"/>
    <w:rsid w:val="00A85E80"/>
    <w:rsid w:val="00A8694A"/>
    <w:rsid w:val="00A92FBC"/>
    <w:rsid w:val="00A933DF"/>
    <w:rsid w:val="00A95508"/>
    <w:rsid w:val="00A96CB7"/>
    <w:rsid w:val="00AA4D1B"/>
    <w:rsid w:val="00AB0709"/>
    <w:rsid w:val="00AB522F"/>
    <w:rsid w:val="00AC38D9"/>
    <w:rsid w:val="00AC500C"/>
    <w:rsid w:val="00AC7378"/>
    <w:rsid w:val="00AE6746"/>
    <w:rsid w:val="00B015B3"/>
    <w:rsid w:val="00B04D66"/>
    <w:rsid w:val="00B118B2"/>
    <w:rsid w:val="00B17F5E"/>
    <w:rsid w:val="00B22376"/>
    <w:rsid w:val="00B26081"/>
    <w:rsid w:val="00B401B1"/>
    <w:rsid w:val="00B40F11"/>
    <w:rsid w:val="00B53D08"/>
    <w:rsid w:val="00B60A6A"/>
    <w:rsid w:val="00B629B8"/>
    <w:rsid w:val="00B667FC"/>
    <w:rsid w:val="00B66EBF"/>
    <w:rsid w:val="00B72723"/>
    <w:rsid w:val="00B75753"/>
    <w:rsid w:val="00B7594B"/>
    <w:rsid w:val="00B75C83"/>
    <w:rsid w:val="00B76D54"/>
    <w:rsid w:val="00B93A02"/>
    <w:rsid w:val="00BA1A28"/>
    <w:rsid w:val="00BA5BB1"/>
    <w:rsid w:val="00BB124B"/>
    <w:rsid w:val="00BB5CC5"/>
    <w:rsid w:val="00BB7DCE"/>
    <w:rsid w:val="00BC1B2B"/>
    <w:rsid w:val="00BC1D8D"/>
    <w:rsid w:val="00BC6267"/>
    <w:rsid w:val="00BC71FD"/>
    <w:rsid w:val="00BD5EE3"/>
    <w:rsid w:val="00BD68A3"/>
    <w:rsid w:val="00BE06AB"/>
    <w:rsid w:val="00BE147F"/>
    <w:rsid w:val="00BE382C"/>
    <w:rsid w:val="00BE404A"/>
    <w:rsid w:val="00BE42EA"/>
    <w:rsid w:val="00BF4851"/>
    <w:rsid w:val="00C147D7"/>
    <w:rsid w:val="00C167DF"/>
    <w:rsid w:val="00C20448"/>
    <w:rsid w:val="00C217F1"/>
    <w:rsid w:val="00C2416A"/>
    <w:rsid w:val="00C24329"/>
    <w:rsid w:val="00C31382"/>
    <w:rsid w:val="00C3221A"/>
    <w:rsid w:val="00C34CB6"/>
    <w:rsid w:val="00C53661"/>
    <w:rsid w:val="00C64B28"/>
    <w:rsid w:val="00C664A7"/>
    <w:rsid w:val="00C66FC7"/>
    <w:rsid w:val="00C71316"/>
    <w:rsid w:val="00C80BDB"/>
    <w:rsid w:val="00C833C4"/>
    <w:rsid w:val="00C8524D"/>
    <w:rsid w:val="00C86312"/>
    <w:rsid w:val="00C91501"/>
    <w:rsid w:val="00C94C81"/>
    <w:rsid w:val="00CA4037"/>
    <w:rsid w:val="00CA4EAC"/>
    <w:rsid w:val="00CA7D80"/>
    <w:rsid w:val="00CB0210"/>
    <w:rsid w:val="00CB0833"/>
    <w:rsid w:val="00CB0DAB"/>
    <w:rsid w:val="00CB0F17"/>
    <w:rsid w:val="00CB2DE4"/>
    <w:rsid w:val="00CC1825"/>
    <w:rsid w:val="00CC7BAC"/>
    <w:rsid w:val="00CD144F"/>
    <w:rsid w:val="00CF1B39"/>
    <w:rsid w:val="00CF6A2C"/>
    <w:rsid w:val="00D02D84"/>
    <w:rsid w:val="00D03041"/>
    <w:rsid w:val="00D11284"/>
    <w:rsid w:val="00D13958"/>
    <w:rsid w:val="00D22679"/>
    <w:rsid w:val="00D34DAE"/>
    <w:rsid w:val="00D369CB"/>
    <w:rsid w:val="00D4054F"/>
    <w:rsid w:val="00D47B65"/>
    <w:rsid w:val="00D50AA7"/>
    <w:rsid w:val="00D565BA"/>
    <w:rsid w:val="00D565D5"/>
    <w:rsid w:val="00D602E5"/>
    <w:rsid w:val="00D606CC"/>
    <w:rsid w:val="00D61C34"/>
    <w:rsid w:val="00D67754"/>
    <w:rsid w:val="00D70630"/>
    <w:rsid w:val="00D7543A"/>
    <w:rsid w:val="00D763F8"/>
    <w:rsid w:val="00D85964"/>
    <w:rsid w:val="00D90967"/>
    <w:rsid w:val="00D948B5"/>
    <w:rsid w:val="00D95449"/>
    <w:rsid w:val="00D96C33"/>
    <w:rsid w:val="00D97284"/>
    <w:rsid w:val="00DA1061"/>
    <w:rsid w:val="00DA25E0"/>
    <w:rsid w:val="00DA5B39"/>
    <w:rsid w:val="00DB41D8"/>
    <w:rsid w:val="00DB4633"/>
    <w:rsid w:val="00DD76C8"/>
    <w:rsid w:val="00DE4DE8"/>
    <w:rsid w:val="00DF2E8B"/>
    <w:rsid w:val="00DF542E"/>
    <w:rsid w:val="00DF711D"/>
    <w:rsid w:val="00E06D13"/>
    <w:rsid w:val="00E07AA9"/>
    <w:rsid w:val="00E16573"/>
    <w:rsid w:val="00E17DE3"/>
    <w:rsid w:val="00E30B64"/>
    <w:rsid w:val="00E31075"/>
    <w:rsid w:val="00E32CC3"/>
    <w:rsid w:val="00E35921"/>
    <w:rsid w:val="00E36E87"/>
    <w:rsid w:val="00E37237"/>
    <w:rsid w:val="00E37406"/>
    <w:rsid w:val="00E437A4"/>
    <w:rsid w:val="00E5440B"/>
    <w:rsid w:val="00E6062C"/>
    <w:rsid w:val="00E64A5F"/>
    <w:rsid w:val="00E66475"/>
    <w:rsid w:val="00E71D1E"/>
    <w:rsid w:val="00E73132"/>
    <w:rsid w:val="00E81001"/>
    <w:rsid w:val="00E905C3"/>
    <w:rsid w:val="00E945D3"/>
    <w:rsid w:val="00EA59C0"/>
    <w:rsid w:val="00EB2DBD"/>
    <w:rsid w:val="00EB47E9"/>
    <w:rsid w:val="00EC4B4D"/>
    <w:rsid w:val="00ED146C"/>
    <w:rsid w:val="00ED1C30"/>
    <w:rsid w:val="00ED41DD"/>
    <w:rsid w:val="00EE3285"/>
    <w:rsid w:val="00EE4217"/>
    <w:rsid w:val="00EE76F0"/>
    <w:rsid w:val="00EF274B"/>
    <w:rsid w:val="00EF2FE0"/>
    <w:rsid w:val="00EF40D5"/>
    <w:rsid w:val="00F036F6"/>
    <w:rsid w:val="00F03E53"/>
    <w:rsid w:val="00F071C7"/>
    <w:rsid w:val="00F113E4"/>
    <w:rsid w:val="00F142CA"/>
    <w:rsid w:val="00F1452B"/>
    <w:rsid w:val="00F158E1"/>
    <w:rsid w:val="00F20BDB"/>
    <w:rsid w:val="00F218EF"/>
    <w:rsid w:val="00F25A8E"/>
    <w:rsid w:val="00F268E3"/>
    <w:rsid w:val="00F41621"/>
    <w:rsid w:val="00F47902"/>
    <w:rsid w:val="00F52EB9"/>
    <w:rsid w:val="00F52FB6"/>
    <w:rsid w:val="00F603E0"/>
    <w:rsid w:val="00F622C6"/>
    <w:rsid w:val="00F72394"/>
    <w:rsid w:val="00F7293D"/>
    <w:rsid w:val="00F768DD"/>
    <w:rsid w:val="00F81C2E"/>
    <w:rsid w:val="00F81E44"/>
    <w:rsid w:val="00F8214E"/>
    <w:rsid w:val="00F8526F"/>
    <w:rsid w:val="00F85374"/>
    <w:rsid w:val="00F85B95"/>
    <w:rsid w:val="00F92FE6"/>
    <w:rsid w:val="00F961BA"/>
    <w:rsid w:val="00FA2D20"/>
    <w:rsid w:val="00FA36FD"/>
    <w:rsid w:val="00FA4225"/>
    <w:rsid w:val="00FB434F"/>
    <w:rsid w:val="00FB50CC"/>
    <w:rsid w:val="00FB79F3"/>
    <w:rsid w:val="00FB7E68"/>
    <w:rsid w:val="00FC4E87"/>
    <w:rsid w:val="00FC74F2"/>
    <w:rsid w:val="00FC79A8"/>
    <w:rsid w:val="00FD0AB9"/>
    <w:rsid w:val="00FE31D1"/>
    <w:rsid w:val="00FE4003"/>
    <w:rsid w:val="00FE4ACB"/>
    <w:rsid w:val="00FE54BE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99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fondy.praca.gov.sk/?csrt=3498853521065788602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sp.gov.sk/data/files/np_tspI/Priloha_Ozn_c2_Zmluva_o_spolupraci_31121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ofondy.praca.gov.sk/?csrt=3498853521065788602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np.pks@employment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5E7B-53EA-43FD-A417-BEBD20C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Becová Dana</cp:lastModifiedBy>
  <cp:revision>2</cp:revision>
  <cp:lastPrinted>2020-08-18T07:29:00Z</cp:lastPrinted>
  <dcterms:created xsi:type="dcterms:W3CDTF">2025-03-19T14:21:00Z</dcterms:created>
  <dcterms:modified xsi:type="dcterms:W3CDTF">2025-03-19T14:21:00Z</dcterms:modified>
</cp:coreProperties>
</file>