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89F" w:rsidRDefault="0035589F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trike/>
          <w:color w:val="000000"/>
          <w:sz w:val="24"/>
          <w:szCs w:val="24"/>
        </w:rPr>
      </w:pPr>
      <w:bookmarkStart w:id="0" w:name="_GoBack"/>
      <w:bookmarkEnd w:id="0"/>
    </w:p>
    <w:p w:rsidR="0035589F" w:rsidRDefault="008B027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DODATOK</w:t>
      </w:r>
    </w:p>
    <w:p w:rsidR="0035589F" w:rsidRDefault="003558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589F" w:rsidRDefault="008B027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 Zmluve o spolupráci č.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Nxxxxxxxx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rámci národného projektu Podpora a zvyšovanie kvality terénnej sociálnej práce s kódom ITMS2014+: 312041Y376, zo dňa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DD.MM.RRRR</w:t>
      </w:r>
    </w:p>
    <w:p w:rsidR="0035589F" w:rsidRDefault="003558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589F" w:rsidRDefault="008B027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ČÍSLO DODATKU: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Nxxxxxxxxxx</w:t>
      </w:r>
      <w:proofErr w:type="spellEnd"/>
    </w:p>
    <w:p w:rsidR="0035589F" w:rsidRDefault="003558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589F" w:rsidRDefault="008B0272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Článok  1</w:t>
      </w:r>
    </w:p>
    <w:p w:rsidR="0035589F" w:rsidRDefault="003558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589F" w:rsidRDefault="008B0272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ZMLUVNÉ STRANY</w:t>
      </w:r>
    </w:p>
    <w:p w:rsidR="0035589F" w:rsidRDefault="003558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589F" w:rsidRDefault="008B027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Implementačná agentúra Ministerstva práce, sociálnych vecí a rodiny SR </w:t>
      </w:r>
    </w:p>
    <w:p w:rsidR="0035589F" w:rsidRDefault="003558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589F" w:rsidRDefault="008B0272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</w:tabs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názov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Implementačná agentúra Ministerstva práce, sociálnych vecí </w:t>
      </w:r>
    </w:p>
    <w:p w:rsidR="0035589F" w:rsidRDefault="008B0272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</w:tabs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a rodiny Slovenskej republiky </w:t>
      </w:r>
    </w:p>
    <w:p w:rsidR="0035589F" w:rsidRDefault="008B0272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</w:tabs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sídlo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Špitálska 6, 814 55 Bratislava, Slovensk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 republika</w:t>
      </w:r>
    </w:p>
    <w:p w:rsidR="0035589F" w:rsidRDefault="008B0272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</w:tabs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30 854 687</w:t>
      </w:r>
    </w:p>
    <w:p w:rsidR="0035589F" w:rsidRDefault="008B0272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</w:tabs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SK 2021846299</w:t>
      </w:r>
    </w:p>
    <w:p w:rsidR="0035589F" w:rsidRDefault="008B0272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</w:tabs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konajúci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Ing. Andrej Svitáč, generálny  riaditeľ</w:t>
      </w:r>
    </w:p>
    <w:p w:rsidR="0035589F" w:rsidRDefault="008B0272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</w:tabs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(ďalej len „IA MPSVR SR“) </w:t>
      </w:r>
    </w:p>
    <w:p w:rsidR="0035589F" w:rsidRDefault="0035589F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</w:tabs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589F" w:rsidRDefault="008B027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Spolupracujúci subjekt</w:t>
      </w:r>
    </w:p>
    <w:p w:rsidR="0035589F" w:rsidRDefault="0035589F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589F" w:rsidRDefault="008B0272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</w:tabs>
        <w:spacing w:line="27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názov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5589F" w:rsidRDefault="008B0272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</w:tabs>
        <w:spacing w:line="27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sídlo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5589F" w:rsidRDefault="008B0272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</w:tabs>
        <w:spacing w:line="27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konajúci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5589F" w:rsidRDefault="008B0272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</w:tabs>
        <w:spacing w:line="27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5589F" w:rsidRDefault="008B0272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</w:tabs>
        <w:spacing w:line="27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5589F" w:rsidRDefault="008B0272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</w:tabs>
        <w:spacing w:line="27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5589F" w:rsidRDefault="008B0272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</w:tabs>
        <w:spacing w:line="276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číslo účtu  (vo formáte IBAN):  </w:t>
      </w:r>
    </w:p>
    <w:p w:rsidR="0035589F" w:rsidRDefault="008B0272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</w:tabs>
        <w:spacing w:line="27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(ďalej len „Spolupracujúci subjekt“)</w:t>
      </w:r>
    </w:p>
    <w:p w:rsidR="0035589F" w:rsidRDefault="0035589F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</w:tabs>
        <w:spacing w:line="27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589F" w:rsidRDefault="008B0272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</w:tabs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(IA MPSVR SR a Spolupracujúci subjekt ďalej spolu len „Zmluvné strany“) </w:t>
      </w:r>
    </w:p>
    <w:p w:rsidR="0035589F" w:rsidRDefault="0035589F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589F" w:rsidRDefault="008B0272">
      <w:pPr>
        <w:pBdr>
          <w:top w:val="nil"/>
          <w:left w:val="nil"/>
          <w:bottom w:val="nil"/>
          <w:right w:val="nil"/>
          <w:between w:val="nil"/>
        </w:pBdr>
        <w:tabs>
          <w:tab w:val="left" w:pos="5109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5589F" w:rsidRDefault="008B0272">
      <w:pPr>
        <w:pBdr>
          <w:top w:val="nil"/>
          <w:left w:val="nil"/>
          <w:bottom w:val="nil"/>
          <w:right w:val="nil"/>
          <w:between w:val="nil"/>
        </w:pBdr>
        <w:spacing w:before="12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uzatvárajú k Zmluve o spolupráci č.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Nxxxxxxxx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dňa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DD.MM.RRRR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rámci národného projektu Podpora a zvyšovanie kvality terénnej sociálnej práce s kódom ITMS2014+: 312041Y376  (ďalej len „Zmluva“) v zmysle § 269 ods. 2 zákona č. 513/1991 Zb. Obchodný zákonník v znení neskorších predpisov a v súlade s Článkom 12 </w:t>
      </w:r>
      <w:r>
        <w:rPr>
          <w:rFonts w:ascii="Times New Roman" w:eastAsia="Times New Roman" w:hAnsi="Times New Roman" w:cs="Times New Roman"/>
          <w:sz w:val="24"/>
          <w:szCs w:val="24"/>
        </w:rPr>
        <w:t>bod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 Zmluvy tento  Dodatok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(ďalej len „Dodatok“)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589F" w:rsidRDefault="0035589F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89F" w:rsidRDefault="008B027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Článok 2</w:t>
      </w:r>
    </w:p>
    <w:p w:rsidR="0035589F" w:rsidRDefault="008B027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redmet dodatku</w:t>
      </w:r>
    </w:p>
    <w:p w:rsidR="0035589F" w:rsidRDefault="008B0272">
      <w:pPr>
        <w:pBdr>
          <w:top w:val="nil"/>
          <w:left w:val="nil"/>
          <w:bottom w:val="nil"/>
          <w:right w:val="nil"/>
          <w:between w:val="nil"/>
        </w:pBdr>
        <w:spacing w:before="120"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Článok 5. Zmluvy sa dopĺňa o nasledovné body:</w:t>
      </w:r>
    </w:p>
    <w:p w:rsidR="0035589F" w:rsidRDefault="008B0272">
      <w:pPr>
        <w:pBdr>
          <w:top w:val="nil"/>
          <w:left w:val="nil"/>
          <w:bottom w:val="nil"/>
          <w:right w:val="nil"/>
          <w:between w:val="nil"/>
        </w:pBdr>
        <w:spacing w:before="12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Výška poskytnutých finančných prostriedkov na výdavky, ktoré úzko súvisia s činnosťou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podporovaných zamestnancov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podľa bodu 5.5 Zmluvy je v prípade zamestnanca</w:t>
      </w:r>
    </w:p>
    <w:p w:rsidR="0035589F" w:rsidRDefault="008B0272">
      <w:pPr>
        <w:pBdr>
          <w:top w:val="nil"/>
          <w:left w:val="nil"/>
          <w:bottom w:val="nil"/>
          <w:right w:val="nil"/>
          <w:between w:val="nil"/>
        </w:pBdr>
        <w:tabs>
          <w:tab w:val="center" w:pos="4606"/>
        </w:tabs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Meno a priezvisko terénneho pracovníka: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(ďalej len “zamestnanec”)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5589F" w:rsidRDefault="008B0272">
      <w:pPr>
        <w:pBdr>
          <w:top w:val="nil"/>
          <w:left w:val="nil"/>
          <w:bottom w:val="nil"/>
          <w:right w:val="nil"/>
          <w:between w:val="nil"/>
        </w:pBdr>
        <w:tabs>
          <w:tab w:val="center" w:pos="4606"/>
        </w:tabs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ktorý je preukázateľne študentom bakalárskeho resp. magisterského štúdia odboru sociálna práca, navýšená o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,0 % z reálne preukázaných personálnych výdavkov tohto zamestnanca v príslušnom kalendárnom mesiaci, ktoré sú zo strany IA MPSVR SR uznané ako oprávnené, očistených o výšku personálnych výdavkov vzťahujúcich sa na čas zamestnanca, ktorý strávil na vzdeláva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a supervízii, organizovaných zo strany IA MPSVR SR. </w:t>
      </w:r>
      <w:r>
        <w:rPr>
          <w:rFonts w:ascii="Times New Roman" w:eastAsia="Times New Roman" w:hAnsi="Times New Roman" w:cs="Times New Roman"/>
          <w:sz w:val="24"/>
          <w:szCs w:val="24"/>
        </w:rPr>
        <w:t>Finančné prostriedky sa poskytujú ako príspevok na čiastočnú úhradu nákladov spojených so štúdiom zamestnanca.</w:t>
      </w:r>
    </w:p>
    <w:p w:rsidR="0035589F" w:rsidRDefault="0035589F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589F" w:rsidRDefault="008B0272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Spolupracujúci subjekt sa zaväzuje použiť finančné prostriedky, ktoré sú poskytnuté </w:t>
      </w:r>
      <w:r>
        <w:rPr>
          <w:rFonts w:ascii="Times New Roman" w:eastAsia="Times New Roman" w:hAnsi="Times New Roman" w:cs="Times New Roman"/>
          <w:sz w:val="24"/>
          <w:szCs w:val="24"/>
        </w:rPr>
        <w:t>ako príspevok na čiastočnú úhradu nákladov spojených so štúdiom zamestnanca výlučne na podporu jeho bakalárskeho resp. magisterského štúdia v odbore sociálna práca. Pravidlá podpory štúdia sú uvedené v Príručke.</w:t>
      </w:r>
    </w:p>
    <w:p w:rsidR="0035589F" w:rsidRDefault="0035589F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89F" w:rsidRDefault="008B0272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Spolupracujúci subjekt je povinný preu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ázať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iehajúce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bakalárske resp. magisterské štúdi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zamestnanca v odbor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sociálna práca </w:t>
      </w:r>
      <w:r>
        <w:rPr>
          <w:rFonts w:ascii="Times New Roman" w:eastAsia="Times New Roman" w:hAnsi="Times New Roman" w:cs="Times New Roman"/>
          <w:sz w:val="24"/>
          <w:szCs w:val="24"/>
        </w:rPr>
        <w:t>najmenej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dva krát ročne, spravidla štúdium v zimnom a v letnom semestri</w:t>
      </w:r>
      <w:r>
        <w:rPr>
          <w:rFonts w:ascii="Times New Roman" w:eastAsia="Times New Roman" w:hAnsi="Times New Roman" w:cs="Times New Roman"/>
          <w:sz w:val="24"/>
          <w:szCs w:val="24"/>
        </w:rPr>
        <w:t>, doložením potrebných dokumentov.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Metodika a časové rámce preukazovania štúdia sú uvedené v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Príručke. </w:t>
      </w:r>
    </w:p>
    <w:p w:rsidR="0035589F" w:rsidRDefault="0035589F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589F" w:rsidRDefault="008B0272">
      <w:pPr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5.15 </w:t>
      </w:r>
      <w:r>
        <w:rPr>
          <w:rFonts w:ascii="Times New Roman" w:eastAsia="Times New Roman" w:hAnsi="Times New Roman" w:cs="Times New Roman"/>
          <w:sz w:val="24"/>
          <w:szCs w:val="24"/>
        </w:rPr>
        <w:t>Spolupracujúci subjekt sa zaväzuje bezodkladne informovať IA MPSVR SR o každej zmene súvisiacej s prebiehajúcim štúdiom zamestnanca, ktorá by mohla mať vplyv na podmienky poskytnutia finančných prostriedkov podľa tohto Dodatku, a to aj bez vyžiadania, a ti</w:t>
      </w:r>
      <w:r>
        <w:rPr>
          <w:rFonts w:ascii="Times New Roman" w:eastAsia="Times New Roman" w:hAnsi="Times New Roman" w:cs="Times New Roman"/>
          <w:sz w:val="24"/>
          <w:szCs w:val="24"/>
        </w:rPr>
        <w:t>ež za účelom kontroly prebiehajúceho štúdia zamestnanca v súlade s týmto Dodatkom a Príručkou.</w:t>
      </w:r>
    </w:p>
    <w:p w:rsidR="0035589F" w:rsidRDefault="008B0272">
      <w:pPr>
        <w:ind w:left="142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Spolupracujúci subjekt sa zaväzuje informovať IA MPSVR SR najmä o zmenách v dátumoch začiatku, skončenia alebo prerušenia štúdia (riadnom či predčasnom) zamestna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nca prostredníctvom oficiálneho oznámenia e-mailom.  </w:t>
      </w:r>
    </w:p>
    <w:p w:rsidR="0035589F" w:rsidRDefault="0035589F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89F" w:rsidRDefault="008B0272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5.16 Ak spolupracujúci subjekt oficiálne informuje IA MPSVR SR, že zamestnanec prerušil štúdium, spolupracujúci subjekt nemá nárok na poskytnutie finančných prostriedkov na celé obdobie trvania preruše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štúdia zamestnanca. Za obdobie prerušenia štúdia zamestnanca sa považujú iba tie kalendárne mesiace, v ktorých štúdium zamestnanca neprebiehalo ani jeden deň. IA MPSVR SR sa zaväzuje opätovne začať poskytovať finančné prostriedky podľa bodu 5.12 tohto </w:t>
      </w:r>
      <w:r>
        <w:rPr>
          <w:rFonts w:ascii="Times New Roman" w:eastAsia="Times New Roman" w:hAnsi="Times New Roman" w:cs="Times New Roman"/>
          <w:sz w:val="24"/>
          <w:szCs w:val="24"/>
        </w:rPr>
        <w:t>článku v prípade ak spolupracujúci subjekt oficiálne informuje, že zamestnanec ukončil prerušenie štúdia a štúdium ďalej riadne prebieha. V tomto prípade IA MPSVR SR poskytne finančné prostriedky podľa bodu 5.12 za každý kalendárny mesiac, v ktorom štúdium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zamestnanca riadne prebiehalo minimálne jeden deň.</w:t>
      </w:r>
    </w:p>
    <w:p w:rsidR="0035589F" w:rsidRDefault="0035589F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89F" w:rsidRDefault="008B0272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5.17 Ak spolupracujúci subjekt oficiálne informuje IA MPSVR SR, že zamestnanec skončil štúdium, IA MPSVR SR posledný krát poskytne finančné prostriedky podľa bodu 5.12 za ten kalendárny mesiac, v ktorom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zamestnanec skončil štúdium.  </w:t>
      </w:r>
    </w:p>
    <w:p w:rsidR="0035589F" w:rsidRDefault="0035589F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5589F" w:rsidRDefault="008B0272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Výška poskytnutých finančných prostriedkov podľa bodu 5.12 tohto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článku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  prvý raz uplatní na personálne výdavky za kalendárny mesiac, v ktorom tento dodatok nadobudol platnosť a účinnosť. </w:t>
      </w:r>
    </w:p>
    <w:p w:rsidR="0035589F" w:rsidRDefault="0035589F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89F" w:rsidRDefault="008B0272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5.19 Spolupracujúci subjekt je povinný na žiadosť IA MPSVR SR bezodkladne predložiť všetky potrebné dokumenty súvisiace s preukázaním prebiehajúceho štúdia zamestnanca na účely výkonu kontroly/auditu v zmysle Zmluvy a Príručky. </w:t>
      </w:r>
    </w:p>
    <w:p w:rsidR="0035589F" w:rsidRDefault="0035589F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5589F" w:rsidRDefault="008B0272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5.20 Ak sa preukáže že spo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lupracujúci subjekt nesplní niektorú z povinností vyplývajúcich z tohto Dodatku a Príručky, najmä ak poskytnuté finančné prostriedky nepoužije v súlade s bodom 5.13 tohto článku IA MPSVR oznámi túto skutočnosť spolupracujúcemu subjektu. </w:t>
      </w:r>
    </w:p>
    <w:p w:rsidR="0035589F" w:rsidRDefault="008B0272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Finančné prostried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ky na personálne výdavky podľa bodu 5.12 tohto článku IA MPSVR SR neposkytne v kalendárnom mesiaci, v ktorom bolo oznámenie odoslané spolupracujúcemu subjektu. Nesplnenie povinnosti spolupracujúceho subjektu podľa prvej vety môže mať za následok povinnosť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vrátiť už poskytnuté finančné prostriedky alebo zastavenie poskytovania ďalších finančných prostriedkov podľa podmienok uvedených v Príručke. </w:t>
      </w:r>
    </w:p>
    <w:p w:rsidR="0035589F" w:rsidRDefault="008B0272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Finančné prostriedky je možné opäť začať poskytovať len ak spolupracujúci subjekt preukáže ich doterajšie použiti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v súlade s účelom poskytnutia finančných prostriedkov, rešpektujúc najmä podmienky stanovené v tomto Dodatku a Príručke.  </w:t>
      </w:r>
    </w:p>
    <w:p w:rsidR="0035589F" w:rsidRDefault="0035589F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5589F" w:rsidRDefault="0035589F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5589F" w:rsidRDefault="0035589F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5589F" w:rsidRDefault="008B0272">
      <w:pPr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Článok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35589F" w:rsidRDefault="008B027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Záverečné ustanovenia</w:t>
      </w:r>
    </w:p>
    <w:p w:rsidR="0035589F" w:rsidRDefault="008B02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Tento Dodatok je neoddeliteľnou súčasťou Zmluvy.</w:t>
      </w:r>
    </w:p>
    <w:p w:rsidR="0035589F" w:rsidRDefault="0035589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589F" w:rsidRDefault="008B02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Ostatné, týmto Dodatkom nedotknuté ustanovenia Zmluvy, vrátane jej príloh, zostávajú v platnosti bez zmien. </w:t>
      </w:r>
    </w:p>
    <w:p w:rsidR="0035589F" w:rsidRDefault="0035589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589F" w:rsidRDefault="008B02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Dodatok je vyhotovený v troch rovnopisoch, z ktorých jeden rovnopis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obdrží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Spolupracujúci subjekt a dva rovnopisy IA MPSVR SR.</w:t>
      </w:r>
    </w:p>
    <w:p w:rsidR="0035589F" w:rsidRDefault="0035589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589F" w:rsidRDefault="008B02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Zmluvné strany vy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hlasujú, že si tento Dodatok riadne a dôkladne prečítali, porozumeli jeho obsahu a sú im známe jeho právne následky. Tento Dodatok zrozumiteľným a jednoznačným spôsobom, nevzbudzujúcim pochybnosti o úmysle zmluvných strán, vyjadruje ich slobodnú a vážnu vô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ľu, súhlasia s jeho obsahom, čo potvrdzujú svojimi vlastnoručnými podpismi.</w:t>
      </w:r>
    </w:p>
    <w:p w:rsidR="0035589F" w:rsidRDefault="0035589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589F" w:rsidRDefault="008B02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Spolupracujúci subjekt je povinný zverejniť Dodatok na svojom webovom sídle alebo v Obchodnom vestníku.</w:t>
      </w:r>
    </w:p>
    <w:p w:rsidR="0035589F" w:rsidRDefault="0035589F">
      <w:pPr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589F" w:rsidRDefault="008B02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Dodatok nadobúda platnosť dňom jeho podpisu oboma Zmluvnými stranami a účinnosť dňom nasledujúcim po dni jeho zverejnenia IA MPSVR SR v súlade so zákonom č. 211/2000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Z.z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o slobodnom prístupe k informáciám a o zmene a doplnení niektorých zákonov (zákon o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lobode informácií) v znení neskorších predpisov. </w:t>
      </w:r>
    </w:p>
    <w:p w:rsidR="0035589F" w:rsidRDefault="003558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589F" w:rsidRDefault="003558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589F" w:rsidRDefault="003558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589F" w:rsidRDefault="008B0272">
      <w:pPr>
        <w:pBdr>
          <w:top w:val="nil"/>
          <w:left w:val="nil"/>
          <w:bottom w:val="nil"/>
          <w:right w:val="nil"/>
          <w:between w:val="nil"/>
        </w:pBdr>
        <w:spacing w:before="120"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  IA MPSVR SR v Bratislave, dňa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Za Spolupracujúci subjekt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dňa</w:t>
      </w:r>
    </w:p>
    <w:p w:rsidR="0035589F" w:rsidRDefault="0035589F">
      <w:pPr>
        <w:pBdr>
          <w:top w:val="nil"/>
          <w:left w:val="nil"/>
          <w:bottom w:val="nil"/>
          <w:right w:val="nil"/>
          <w:between w:val="nil"/>
        </w:pBdr>
        <w:spacing w:before="120"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35589F" w:rsidRDefault="0035589F">
      <w:pPr>
        <w:pBdr>
          <w:top w:val="nil"/>
          <w:left w:val="nil"/>
          <w:bottom w:val="nil"/>
          <w:right w:val="nil"/>
          <w:between w:val="nil"/>
        </w:pBdr>
        <w:spacing w:before="120"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35589F" w:rsidRDefault="008B0272">
      <w:pPr>
        <w:pBdr>
          <w:top w:val="nil"/>
          <w:left w:val="nil"/>
          <w:bottom w:val="nil"/>
          <w:right w:val="nil"/>
          <w:between w:val="nil"/>
        </w:pBdr>
        <w:spacing w:before="120"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Podpis: .......................................                               Podpis:....................................</w:t>
      </w:r>
    </w:p>
    <w:p w:rsidR="0035589F" w:rsidRDefault="008B027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Ing. Andrej Svitáč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Titul, meno priezvisko</w:t>
      </w:r>
    </w:p>
    <w:p w:rsidR="0035589F" w:rsidRDefault="008B027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generálny riaditeľ IA MPSVR SR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štatutárny orgán</w:t>
      </w:r>
    </w:p>
    <w:sectPr w:rsidR="0035589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64" w:right="1418" w:bottom="851" w:left="1418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272" w:rsidRDefault="008B0272">
      <w:r>
        <w:separator/>
      </w:r>
    </w:p>
  </w:endnote>
  <w:endnote w:type="continuationSeparator" w:id="0">
    <w:p w:rsidR="008B0272" w:rsidRDefault="008B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89F" w:rsidRDefault="008B02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35589F" w:rsidRDefault="003558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89F" w:rsidRDefault="008B02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="006A3B86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6A3B86">
      <w:rPr>
        <w:rFonts w:ascii="Times New Roman" w:eastAsia="Times New Roman" w:hAnsi="Times New Roman" w:cs="Times New Roman"/>
        <w:noProof/>
        <w:color w:val="000000"/>
        <w:sz w:val="24"/>
        <w:szCs w:val="24"/>
      </w:rPr>
      <w:t>4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35589F" w:rsidRDefault="008B02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</w:p>
  <w:p w:rsidR="0035589F" w:rsidRDefault="003558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35589F" w:rsidRDefault="008B02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Tento projekt (kód ITMS 2014+: 312041Y376) sa realizuje vďaka podpore z Európskeho sociálneho fondu a Európskeho fondu regionálneho rozvoja v rámci Operačného programu Ľudské zdroje </w:t>
    </w:r>
    <w:hyperlink r:id="rId1"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www.esf.gov.sk</w:t>
      </w:r>
    </w:hyperlink>
  </w:p>
  <w:p w:rsidR="0035589F" w:rsidRDefault="003558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89F" w:rsidRDefault="003558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35589F" w:rsidRDefault="003558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35589F" w:rsidRDefault="008B02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Tento projekt (kód ITMS 2014+: 312041Y376) sa realizuje vďaka podpore z Európskeho sociálneho fondu a Európskeho fondu regionálneho rozvoja v rámci Operačného programu Ľudské zdroje </w:t>
    </w:r>
    <w:hyperlink r:id="rId1"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www.esf.gov.sk</w:t>
      </w:r>
    </w:hyperlink>
  </w:p>
  <w:p w:rsidR="0035589F" w:rsidRDefault="003558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272" w:rsidRDefault="008B0272">
      <w:r>
        <w:separator/>
      </w:r>
    </w:p>
  </w:footnote>
  <w:footnote w:type="continuationSeparator" w:id="0">
    <w:p w:rsidR="008B0272" w:rsidRDefault="008B0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89F" w:rsidRDefault="003558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6"/>
        <w:szCs w:val="26"/>
      </w:rPr>
    </w:pPr>
  </w:p>
  <w:p w:rsidR="0035589F" w:rsidRDefault="008B02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6"/>
        <w:szCs w:val="26"/>
      </w:rPr>
    </w:pPr>
    <w:r>
      <w:rPr>
        <w:rFonts w:ascii="Arial" w:eastAsia="Arial" w:hAnsi="Arial" w:cs="Arial"/>
        <w:noProof/>
        <w:color w:val="000000"/>
        <w:sz w:val="26"/>
        <w:szCs w:val="26"/>
      </w:rPr>
      <w:drawing>
        <wp:inline distT="0" distB="0" distL="114300" distR="114300">
          <wp:extent cx="5762625" cy="57404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625" cy="574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5589F" w:rsidRDefault="003558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6"/>
        <w:szCs w:val="26"/>
      </w:rPr>
    </w:pPr>
  </w:p>
  <w:p w:rsidR="0035589F" w:rsidRDefault="003558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89F" w:rsidRDefault="008B02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6"/>
        <w:szCs w:val="26"/>
      </w:rPr>
      <w:t xml:space="preserve">          </w:t>
    </w:r>
    <w:r>
      <w:rPr>
        <w:rFonts w:ascii="Arial" w:eastAsia="Arial" w:hAnsi="Arial" w:cs="Arial"/>
        <w:noProof/>
        <w:color w:val="000000"/>
        <w:sz w:val="26"/>
        <w:szCs w:val="26"/>
      </w:rPr>
      <w:drawing>
        <wp:inline distT="0" distB="0" distL="114300" distR="114300">
          <wp:extent cx="5762625" cy="57404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625" cy="574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000000"/>
        <w:sz w:val="26"/>
        <w:szCs w:val="26"/>
      </w:rP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F4E2F"/>
    <w:multiLevelType w:val="multilevel"/>
    <w:tmpl w:val="5A4479C2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vertAlign w:val="baseline"/>
      </w:rPr>
    </w:lvl>
  </w:abstractNum>
  <w:abstractNum w:abstractNumId="1" w15:restartNumberingAfterBreak="0">
    <w:nsid w:val="4D917B14"/>
    <w:multiLevelType w:val="multilevel"/>
    <w:tmpl w:val="14EE5CA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9F"/>
    <w:rsid w:val="0035589F"/>
    <w:rsid w:val="006A3B86"/>
    <w:rsid w:val="008B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84A94-ECE8-4888-AA78-9EE104E6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6030</Characters>
  <Application>Microsoft Office Word</Application>
  <DocSecurity>0</DocSecurity>
  <Lines>50</Lines>
  <Paragraphs>14</Paragraphs>
  <ScaleCrop>false</ScaleCrop>
  <Company/>
  <LinksUpToDate>false</LinksUpToDate>
  <CharactersWithSpaces>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Fukas Marcel</dc:creator>
  <cp:lastModifiedBy>Fukas Marcel</cp:lastModifiedBy>
  <cp:revision>2</cp:revision>
  <dcterms:created xsi:type="dcterms:W3CDTF">2021-09-07T09:16:00Z</dcterms:created>
  <dcterms:modified xsi:type="dcterms:W3CDTF">2021-09-07T09:16:00Z</dcterms:modified>
</cp:coreProperties>
</file>