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157EB" w14:textId="77777777" w:rsidR="00053901" w:rsidRDefault="00053901" w:rsidP="00AE37CC">
      <w:pPr>
        <w:jc w:val="center"/>
        <w:rPr>
          <w:b/>
          <w:color w:val="F79646" w:themeColor="accent6"/>
          <w:sz w:val="30"/>
          <w:szCs w:val="30"/>
        </w:rPr>
      </w:pPr>
    </w:p>
    <w:p w14:paraId="66468BC3" w14:textId="77777777" w:rsidR="00AE37CC" w:rsidRPr="00AE37CC" w:rsidRDefault="00AE37CC" w:rsidP="00AE37CC">
      <w:pPr>
        <w:jc w:val="center"/>
        <w:rPr>
          <w:b/>
          <w:color w:val="F79646" w:themeColor="accent6"/>
          <w:sz w:val="30"/>
          <w:szCs w:val="30"/>
        </w:rPr>
      </w:pPr>
      <w:r w:rsidRPr="00AE37CC">
        <w:rPr>
          <w:b/>
          <w:color w:val="F79646" w:themeColor="accent6"/>
          <w:sz w:val="30"/>
          <w:szCs w:val="30"/>
        </w:rPr>
        <w:t>OZNÁMENIE</w:t>
      </w:r>
    </w:p>
    <w:p w14:paraId="6A10A533" w14:textId="77777777" w:rsidR="00AE37CC" w:rsidRPr="00AE37CC" w:rsidRDefault="00AE37CC" w:rsidP="00AE37CC">
      <w:pPr>
        <w:jc w:val="center"/>
        <w:rPr>
          <w:b/>
          <w:color w:val="F79646" w:themeColor="accent6"/>
          <w:sz w:val="30"/>
          <w:szCs w:val="30"/>
        </w:rPr>
      </w:pPr>
    </w:p>
    <w:p w14:paraId="3B6CB425" w14:textId="77777777" w:rsidR="00AE37CC" w:rsidRPr="00AE37CC" w:rsidRDefault="00AE37CC" w:rsidP="00AE37CC">
      <w:pPr>
        <w:jc w:val="center"/>
        <w:rPr>
          <w:b/>
          <w:color w:val="F79646" w:themeColor="accent6"/>
          <w:sz w:val="30"/>
          <w:szCs w:val="30"/>
        </w:rPr>
      </w:pPr>
      <w:r w:rsidRPr="00AE37CC">
        <w:rPr>
          <w:b/>
          <w:color w:val="F79646" w:themeColor="accent6"/>
          <w:sz w:val="30"/>
          <w:szCs w:val="30"/>
        </w:rPr>
        <w:t>HROMADNÁ ZMENA ZMLUVY O POSKYTNUTÍ NFP</w:t>
      </w:r>
    </w:p>
    <w:p w14:paraId="5447D664" w14:textId="77777777" w:rsidR="00AE37CC" w:rsidRPr="00053901" w:rsidRDefault="00AE37CC" w:rsidP="00AE37CC"/>
    <w:p w14:paraId="604BF552" w14:textId="77777777" w:rsidR="00F77089" w:rsidRDefault="00F77089" w:rsidP="00AE37CC"/>
    <w:p w14:paraId="62F8AA32" w14:textId="77777777" w:rsidR="00AE37CC" w:rsidRDefault="00AE37CC" w:rsidP="00AE37CC">
      <w:r>
        <w:t>Vážený prijímateľ,</w:t>
      </w:r>
    </w:p>
    <w:p w14:paraId="78A62145" w14:textId="77777777" w:rsidR="00AE37CC" w:rsidRDefault="00AE37CC" w:rsidP="00AE37CC"/>
    <w:p w14:paraId="18573D7E" w14:textId="77777777" w:rsidR="00AE37CC" w:rsidRPr="001F60CC" w:rsidRDefault="00AE37CC" w:rsidP="00AE37CC">
      <w:pPr>
        <w:jc w:val="both"/>
        <w:rPr>
          <w:rFonts w:cstheme="minorHAnsi"/>
        </w:rPr>
      </w:pPr>
      <w:r>
        <w:rPr>
          <w:rFonts w:cstheme="minorHAnsi"/>
          <w:shd w:val="clear" w:color="auto" w:fill="FFFFFF"/>
        </w:rPr>
        <w:t>p</w:t>
      </w:r>
      <w:r w:rsidRPr="009F67AF">
        <w:rPr>
          <w:rFonts w:cstheme="minorHAnsi"/>
          <w:shd w:val="clear" w:color="auto" w:fill="FFFFFF"/>
        </w:rPr>
        <w:t xml:space="preserve">odľa § 59 </w:t>
      </w:r>
      <w:r>
        <w:rPr>
          <w:rFonts w:cstheme="minorHAnsi"/>
          <w:shd w:val="clear" w:color="auto" w:fill="FFFFFF"/>
        </w:rPr>
        <w:t xml:space="preserve">zákona č. 292/2014 o príspevku poskytovanom z európskych štrukturálnych a investičných fondov v platnom znení (ďalej len „zákon o príspevku z EŠIF“) zverejnil </w:t>
      </w:r>
      <w:r w:rsidRPr="009F67AF">
        <w:rPr>
          <w:rFonts w:cstheme="minorHAnsi"/>
          <w:shd w:val="clear" w:color="auto" w:fill="FFFFFF"/>
        </w:rPr>
        <w:t xml:space="preserve">Certifikačný orgán </w:t>
      </w:r>
      <w:r w:rsidRPr="001F60CC">
        <w:rPr>
          <w:rFonts w:cstheme="minorHAnsi"/>
        </w:rPr>
        <w:t>na</w:t>
      </w:r>
      <w:r>
        <w:rPr>
          <w:rFonts w:cstheme="minorHAnsi"/>
        </w:rPr>
        <w:t xml:space="preserve"> </w:t>
      </w:r>
      <w:hyperlink r:id="rId9" w:history="1">
        <w:r w:rsidRPr="001F60CC">
          <w:rPr>
            <w:rStyle w:val="Hypertextovprepojenie"/>
            <w:rFonts w:cstheme="minorHAnsi"/>
          </w:rPr>
          <w:t>www.partnerskadohoda.gov.sk</w:t>
        </w:r>
      </w:hyperlink>
      <w:r w:rsidRPr="001F60CC">
        <w:rPr>
          <w:rFonts w:cstheme="minorHAnsi"/>
        </w:rPr>
        <w:t xml:space="preserve"> v sekcii </w:t>
      </w:r>
      <w:r>
        <w:rPr>
          <w:rFonts w:cstheme="minorHAnsi"/>
        </w:rPr>
        <w:t>„</w:t>
      </w:r>
      <w:r w:rsidRPr="001F60CC">
        <w:rPr>
          <w:rFonts w:cstheme="minorHAnsi"/>
        </w:rPr>
        <w:t>CKO</w:t>
      </w:r>
      <w:r>
        <w:rPr>
          <w:rFonts w:cstheme="minorHAnsi"/>
        </w:rPr>
        <w:t>“</w:t>
      </w:r>
      <w:r w:rsidRPr="001F60CC">
        <w:rPr>
          <w:rFonts w:cstheme="minorHAnsi"/>
        </w:rPr>
        <w:t>, záložka „Zmena zmluvy v čase krízovej situácie“</w:t>
      </w:r>
      <w:r>
        <w:rPr>
          <w:rFonts w:cstheme="minorHAnsi"/>
        </w:rPr>
        <w:t xml:space="preserve"> dve zmeny, a to</w:t>
      </w:r>
      <w:r w:rsidRPr="001F60CC">
        <w:rPr>
          <w:rFonts w:cstheme="minorHAnsi"/>
        </w:rPr>
        <w:t>:</w:t>
      </w:r>
    </w:p>
    <w:p w14:paraId="65DED420" w14:textId="77777777" w:rsidR="00AE37CC" w:rsidRPr="001F60CC" w:rsidRDefault="00AE37CC" w:rsidP="00AE37CC">
      <w:pPr>
        <w:pStyle w:val="Odsekzoznamu"/>
        <w:numPr>
          <w:ilvl w:val="0"/>
          <w:numId w:val="10"/>
        </w:numPr>
        <w:jc w:val="both"/>
        <w:rPr>
          <w:rFonts w:cstheme="minorHAnsi"/>
        </w:rPr>
      </w:pPr>
      <w:r w:rsidRPr="001F60CC">
        <w:rPr>
          <w:rFonts w:cstheme="minorHAnsi"/>
          <w:shd w:val="clear" w:color="auto" w:fill="FFFFFF"/>
        </w:rPr>
        <w:t>Zmen</w:t>
      </w:r>
      <w:r>
        <w:rPr>
          <w:rFonts w:cstheme="minorHAnsi"/>
          <w:shd w:val="clear" w:color="auto" w:fill="FFFFFF"/>
        </w:rPr>
        <w:t>a</w:t>
      </w:r>
      <w:r w:rsidRPr="001F60CC">
        <w:rPr>
          <w:rFonts w:cstheme="minorHAnsi"/>
          <w:shd w:val="clear" w:color="auto" w:fill="FFFFFF"/>
        </w:rPr>
        <w:t xml:space="preserve"> zmluvy o poskytnutí nenávratného finančného príspevku počas krízovej situácie zverejnená dňa 19. 6. 2020 certifikačným orgánom s poradovým číslom 1</w:t>
      </w:r>
      <w:r w:rsidRPr="001F60CC">
        <w:rPr>
          <w:rFonts w:cstheme="minorHAnsi"/>
        </w:rPr>
        <w:t xml:space="preserve"> a</w:t>
      </w:r>
    </w:p>
    <w:p w14:paraId="307CC929" w14:textId="77777777" w:rsidR="00AE37CC" w:rsidRPr="000F5D57" w:rsidRDefault="00AE37CC" w:rsidP="00AE37CC">
      <w:pPr>
        <w:pStyle w:val="Odsekzoznamu"/>
        <w:numPr>
          <w:ilvl w:val="0"/>
          <w:numId w:val="10"/>
        </w:numPr>
        <w:jc w:val="both"/>
        <w:rPr>
          <w:rFonts w:cstheme="minorHAnsi"/>
        </w:rPr>
      </w:pPr>
      <w:r w:rsidRPr="001F60CC">
        <w:rPr>
          <w:rFonts w:cstheme="minorHAnsi"/>
          <w:shd w:val="clear" w:color="auto" w:fill="FFFFFF"/>
        </w:rPr>
        <w:t>Zmen</w:t>
      </w:r>
      <w:r>
        <w:rPr>
          <w:rFonts w:cstheme="minorHAnsi"/>
          <w:shd w:val="clear" w:color="auto" w:fill="FFFFFF"/>
        </w:rPr>
        <w:t>a</w:t>
      </w:r>
      <w:r w:rsidRPr="001F60CC">
        <w:rPr>
          <w:rFonts w:cstheme="minorHAnsi"/>
          <w:shd w:val="clear" w:color="auto" w:fill="FFFFFF"/>
        </w:rPr>
        <w:t xml:space="preserve"> zmluvy o poskytnutí nenávratného finančného príspevku počas krízovej situácie zverejnená dňa 19. 6. 2020 certifikačným orgánom s poradovým číslom </w:t>
      </w:r>
      <w:r>
        <w:rPr>
          <w:rFonts w:cstheme="minorHAnsi"/>
          <w:shd w:val="clear" w:color="auto" w:fill="FFFFFF"/>
        </w:rPr>
        <w:t>2,</w:t>
      </w:r>
    </w:p>
    <w:p w14:paraId="3E3DF533" w14:textId="3C3D645C" w:rsidR="00AE37CC" w:rsidRDefault="00AE37CC" w:rsidP="00AE37CC">
      <w:pPr>
        <w:jc w:val="both"/>
        <w:rPr>
          <w:rFonts w:cstheme="minorHAnsi"/>
        </w:rPr>
      </w:pPr>
      <w:r>
        <w:rPr>
          <w:rFonts w:cstheme="minorHAnsi"/>
        </w:rPr>
        <w:t>čím určil maximálny rozsah zmeny pre oblasť upravenú Systémom finančného riadenia š</w:t>
      </w:r>
      <w:r w:rsidRPr="009462FB">
        <w:rPr>
          <w:rFonts w:cstheme="minorHAnsi"/>
          <w:bCs/>
        </w:rPr>
        <w:t>trukturálnych fondov, Kohézneho fondu a Európskeho námorného a rybárskeho fondu na programové obdobie 2014</w:t>
      </w:r>
      <w:r w:rsidR="00F77089">
        <w:rPr>
          <w:rFonts w:cstheme="minorHAnsi"/>
          <w:bCs/>
        </w:rPr>
        <w:t> </w:t>
      </w:r>
      <w:r w:rsidRPr="009462FB">
        <w:rPr>
          <w:rFonts w:cstheme="minorHAnsi"/>
          <w:bCs/>
        </w:rPr>
        <w:t>– 2020</w:t>
      </w:r>
      <w:r>
        <w:rPr>
          <w:rFonts w:cstheme="minorHAnsi"/>
          <w:bCs/>
        </w:rPr>
        <w:t xml:space="preserve"> (ďalej len „SFR“). U</w:t>
      </w:r>
      <w:r>
        <w:rPr>
          <w:rFonts w:cstheme="minorHAnsi"/>
        </w:rPr>
        <w:t>vedené zmeny môžu nadobudnúť účinnosť až po tom, ako sú – v plnom rozsahu alebo čiastočne – prevzaté poskytovateľom pomoci a oznámené prijímateľovi nenávratného finančného príspevku.</w:t>
      </w:r>
    </w:p>
    <w:p w14:paraId="69F46E0E" w14:textId="77777777" w:rsidR="00AE37CC" w:rsidRDefault="00AE37CC" w:rsidP="00AE37CC">
      <w:pPr>
        <w:jc w:val="both"/>
      </w:pPr>
    </w:p>
    <w:p w14:paraId="60BEC4A9" w14:textId="674C1514" w:rsidR="00F77089" w:rsidRDefault="00F77089" w:rsidP="00F77089">
      <w:pPr>
        <w:jc w:val="both"/>
      </w:pPr>
      <w:r>
        <w:t xml:space="preserve">Dovoľujeme si Vás informovať, že </w:t>
      </w:r>
      <w:r>
        <w:rPr>
          <w:b/>
        </w:rPr>
        <w:t>Implementačná agentúra Ministerstva práce, sociálnych vecí a rodiny SR (ďalej len „</w:t>
      </w:r>
      <w:r w:rsidRPr="001F60CC">
        <w:rPr>
          <w:b/>
        </w:rPr>
        <w:t>IA MPSVR SR</w:t>
      </w:r>
      <w:r>
        <w:rPr>
          <w:b/>
        </w:rPr>
        <w:t>“)</w:t>
      </w:r>
      <w:r>
        <w:t xml:space="preserve"> ako poskytovateľ pomoci </w:t>
      </w:r>
      <w:r w:rsidRPr="001F60CC">
        <w:rPr>
          <w:b/>
        </w:rPr>
        <w:t xml:space="preserve">pristupuje </w:t>
      </w:r>
      <w:r>
        <w:rPr>
          <w:b/>
        </w:rPr>
        <w:t xml:space="preserve">týmto </w:t>
      </w:r>
      <w:r w:rsidRPr="001F60CC">
        <w:rPr>
          <w:b/>
        </w:rPr>
        <w:t>Oznáme</w:t>
      </w:r>
      <w:r>
        <w:rPr>
          <w:b/>
        </w:rPr>
        <w:t>ním</w:t>
      </w:r>
      <w:r w:rsidRPr="001F60CC">
        <w:rPr>
          <w:b/>
        </w:rPr>
        <w:t xml:space="preserve"> </w:t>
      </w:r>
      <w:r>
        <w:rPr>
          <w:b/>
        </w:rPr>
        <w:t>k </w:t>
      </w:r>
      <w:r w:rsidRPr="001F60CC">
        <w:rPr>
          <w:b/>
        </w:rPr>
        <w:t xml:space="preserve">hromadnej </w:t>
      </w:r>
      <w:r>
        <w:rPr>
          <w:b/>
        </w:rPr>
        <w:t>zmene z</w:t>
      </w:r>
      <w:r w:rsidRPr="001F60CC">
        <w:rPr>
          <w:b/>
        </w:rPr>
        <w:t>mluvy o poskytnutí nenávratného finančného príspevku</w:t>
      </w:r>
      <w:r>
        <w:t xml:space="preserve"> (ďalej len „zmluva o poskytnutí NFP“).</w:t>
      </w:r>
      <w:r w:rsidRPr="007F218B">
        <w:rPr>
          <w:rFonts w:cstheme="minorHAnsi"/>
          <w:b/>
        </w:rPr>
        <w:t xml:space="preserve"> </w:t>
      </w:r>
      <w:r>
        <w:rPr>
          <w:rFonts w:cstheme="minorHAnsi"/>
          <w:b/>
        </w:rPr>
        <w:t>Hromadná zmena zm</w:t>
      </w:r>
      <w:r w:rsidRPr="001F60CC">
        <w:rPr>
          <w:rFonts w:cstheme="minorHAnsi"/>
          <w:b/>
        </w:rPr>
        <w:t>luvy o</w:t>
      </w:r>
      <w:r>
        <w:rPr>
          <w:rFonts w:cstheme="minorHAnsi"/>
          <w:b/>
        </w:rPr>
        <w:t xml:space="preserve"> poskytnutí </w:t>
      </w:r>
      <w:r w:rsidRPr="001F60CC">
        <w:rPr>
          <w:rFonts w:cstheme="minorHAnsi"/>
          <w:b/>
        </w:rPr>
        <w:t>NFP</w:t>
      </w:r>
      <w:r>
        <w:rPr>
          <w:rFonts w:cstheme="minorHAnsi"/>
        </w:rPr>
        <w:t xml:space="preserve"> </w:t>
      </w:r>
      <w:r w:rsidRPr="001F60CC">
        <w:rPr>
          <w:rFonts w:cstheme="minorHAnsi"/>
          <w:b/>
        </w:rPr>
        <w:t>sa vzťahuje na všetky dopytovo orientované projekty</w:t>
      </w:r>
      <w:r w:rsidRPr="007F218B">
        <w:rPr>
          <w:rFonts w:cstheme="minorHAnsi"/>
          <w:b/>
        </w:rPr>
        <w:t xml:space="preserve">, implementované v rámci prioritných osí </w:t>
      </w:r>
      <w:r>
        <w:rPr>
          <w:rFonts w:cstheme="minorHAnsi"/>
          <w:b/>
        </w:rPr>
        <w:t xml:space="preserve">2, </w:t>
      </w:r>
      <w:r w:rsidRPr="007F218B">
        <w:rPr>
          <w:rFonts w:cstheme="minorHAnsi"/>
          <w:b/>
        </w:rPr>
        <w:t xml:space="preserve">3 a 4 </w:t>
      </w:r>
      <w:r>
        <w:rPr>
          <w:rFonts w:cstheme="minorHAnsi"/>
          <w:b/>
        </w:rPr>
        <w:t>operačného programu Ľudské zdroje (ďalej len „</w:t>
      </w:r>
      <w:r w:rsidRPr="007F218B">
        <w:rPr>
          <w:rFonts w:cstheme="minorHAnsi"/>
          <w:b/>
        </w:rPr>
        <w:t>OP ĽZ</w:t>
      </w:r>
      <w:r>
        <w:rPr>
          <w:rFonts w:cstheme="minorHAnsi"/>
          <w:b/>
        </w:rPr>
        <w:t>“)</w:t>
      </w:r>
      <w:r>
        <w:rPr>
          <w:rFonts w:cstheme="minorHAnsi"/>
        </w:rPr>
        <w:t>.</w:t>
      </w:r>
    </w:p>
    <w:p w14:paraId="118B7B03" w14:textId="77777777" w:rsidR="00F77089" w:rsidRPr="00802E23" w:rsidRDefault="00F77089" w:rsidP="00F77089">
      <w:pPr>
        <w:jc w:val="both"/>
      </w:pPr>
      <w:r>
        <w:t xml:space="preserve">Oznámenie hromadnej zmeny zmluvy o poskytnutí NFP je rovnako zverejnené </w:t>
      </w:r>
      <w:r w:rsidRPr="0014550F">
        <w:t>na našom webovom sídle</w:t>
      </w:r>
      <w:r>
        <w:rPr>
          <w:b/>
        </w:rPr>
        <w:t xml:space="preserve"> </w:t>
      </w:r>
      <w:r w:rsidRPr="00802E23">
        <w:t>(</w:t>
      </w:r>
      <w:hyperlink r:id="rId10" w:history="1">
        <w:r w:rsidRPr="00802E23">
          <w:rPr>
            <w:rStyle w:val="Hypertextovprepojenie"/>
          </w:rPr>
          <w:t>www.ia.gov.sk</w:t>
        </w:r>
      </w:hyperlink>
      <w:r w:rsidRPr="00802E23">
        <w:t>/ kategória Mimoriadne opatrenia v súvislosti s </w:t>
      </w:r>
      <w:proofErr w:type="spellStart"/>
      <w:r>
        <w:t>koronavírusom</w:t>
      </w:r>
      <w:proofErr w:type="spellEnd"/>
      <w:r w:rsidRPr="00802E23">
        <w:t xml:space="preserve">/ </w:t>
      </w:r>
      <w:r>
        <w:t xml:space="preserve">časť </w:t>
      </w:r>
      <w:r w:rsidRPr="00802E23">
        <w:t xml:space="preserve">Opatrenia platné pre </w:t>
      </w:r>
      <w:r>
        <w:t>dopytovo orientované projekty).</w:t>
      </w:r>
    </w:p>
    <w:p w14:paraId="2EFADFFB" w14:textId="77777777" w:rsidR="00F77089" w:rsidRDefault="00F77089" w:rsidP="00F77089">
      <w:pPr>
        <w:jc w:val="both"/>
        <w:rPr>
          <w:rFonts w:cstheme="minorHAnsi"/>
        </w:rPr>
      </w:pPr>
    </w:p>
    <w:p w14:paraId="696F7B5E" w14:textId="77777777" w:rsidR="00F77089" w:rsidRDefault="00F77089" w:rsidP="00F77089">
      <w:pPr>
        <w:jc w:val="both"/>
        <w:rPr>
          <w:rFonts w:cstheme="minorHAnsi"/>
          <w:shd w:val="clear" w:color="auto" w:fill="FFFFFF"/>
        </w:rPr>
      </w:pPr>
      <w:r w:rsidRPr="00866B10">
        <w:rPr>
          <w:rFonts w:cstheme="minorHAnsi"/>
          <w:shd w:val="clear" w:color="auto" w:fill="FFFFFF"/>
        </w:rPr>
        <w:t>Hromadná zmena zmluvy o</w:t>
      </w:r>
      <w:r>
        <w:rPr>
          <w:rFonts w:cstheme="minorHAnsi"/>
          <w:shd w:val="clear" w:color="auto" w:fill="FFFFFF"/>
        </w:rPr>
        <w:t xml:space="preserve"> poskytnutí </w:t>
      </w:r>
      <w:r w:rsidRPr="00866B10">
        <w:rPr>
          <w:rFonts w:cstheme="minorHAnsi"/>
          <w:shd w:val="clear" w:color="auto" w:fill="FFFFFF"/>
        </w:rPr>
        <w:t xml:space="preserve">NFP je </w:t>
      </w:r>
      <w:r w:rsidRPr="00866B10">
        <w:rPr>
          <w:rFonts w:cstheme="minorHAnsi"/>
          <w:b/>
          <w:shd w:val="clear" w:color="auto" w:fill="FFFFFF"/>
        </w:rPr>
        <w:t xml:space="preserve">účinná </w:t>
      </w:r>
      <w:r>
        <w:rPr>
          <w:rFonts w:cstheme="minorHAnsi"/>
          <w:b/>
          <w:shd w:val="clear" w:color="auto" w:fill="FFFFFF"/>
        </w:rPr>
        <w:t>odoslaním</w:t>
      </w:r>
      <w:r w:rsidRPr="00866B10">
        <w:rPr>
          <w:rFonts w:cstheme="minorHAnsi"/>
          <w:b/>
          <w:shd w:val="clear" w:color="auto" w:fill="FFFFFF"/>
        </w:rPr>
        <w:t xml:space="preserve"> Oznámenia hromadnej zmeny zmluvy o</w:t>
      </w:r>
      <w:r>
        <w:rPr>
          <w:rFonts w:cstheme="minorHAnsi"/>
          <w:b/>
          <w:shd w:val="clear" w:color="auto" w:fill="FFFFFF"/>
        </w:rPr>
        <w:t xml:space="preserve"> poskytnutí </w:t>
      </w:r>
      <w:r w:rsidRPr="00866B10">
        <w:rPr>
          <w:rFonts w:cstheme="minorHAnsi"/>
          <w:b/>
          <w:shd w:val="clear" w:color="auto" w:fill="FFFFFF"/>
        </w:rPr>
        <w:t>NFP</w:t>
      </w:r>
      <w:r>
        <w:rPr>
          <w:rFonts w:cstheme="minorHAnsi"/>
          <w:shd w:val="clear" w:color="auto" w:fill="FFFFFF"/>
        </w:rPr>
        <w:t xml:space="preserve"> na e-mailovú adresu, ktorú prijímateľ poskytol IA MPSVR SR, príp. vo vzťahu ku ktorej oznámil zmenu. Súčasne aj v prípade, ak je </w:t>
      </w:r>
      <w:r w:rsidRPr="00CD2887">
        <w:rPr>
          <w:rFonts w:cstheme="minorHAnsi"/>
          <w:b/>
          <w:shd w:val="clear" w:color="auto" w:fill="FFFFFF"/>
        </w:rPr>
        <w:t>zmena zaslaná na neaktuálnu alebo neplatnú e-mailovú adresu</w:t>
      </w:r>
      <w:r>
        <w:rPr>
          <w:rFonts w:cstheme="minorHAnsi"/>
          <w:shd w:val="clear" w:color="auto" w:fill="FFFFFF"/>
        </w:rPr>
        <w:t xml:space="preserve">, ktorú prijímateľ nezmenil (neoznámil zmenu), </w:t>
      </w:r>
      <w:r w:rsidRPr="00CD2887">
        <w:rPr>
          <w:rFonts w:cstheme="minorHAnsi"/>
          <w:shd w:val="clear" w:color="auto" w:fill="FFFFFF"/>
        </w:rPr>
        <w:t xml:space="preserve">zmena </w:t>
      </w:r>
      <w:r w:rsidRPr="00CD2887">
        <w:rPr>
          <w:rFonts w:cstheme="minorHAnsi"/>
          <w:b/>
          <w:shd w:val="clear" w:color="auto" w:fill="FFFFFF"/>
        </w:rPr>
        <w:t xml:space="preserve">vyvoláva </w:t>
      </w:r>
      <w:r>
        <w:rPr>
          <w:rFonts w:cstheme="minorHAnsi"/>
          <w:shd w:val="clear" w:color="auto" w:fill="FFFFFF"/>
        </w:rPr>
        <w:t>p</w:t>
      </w:r>
      <w:r w:rsidRPr="009F67AF">
        <w:rPr>
          <w:rFonts w:cstheme="minorHAnsi"/>
          <w:shd w:val="clear" w:color="auto" w:fill="FFFFFF"/>
        </w:rPr>
        <w:t xml:space="preserve">odľa § 59 </w:t>
      </w:r>
      <w:r>
        <w:rPr>
          <w:rFonts w:cstheme="minorHAnsi"/>
          <w:shd w:val="clear" w:color="auto" w:fill="FFFFFF"/>
        </w:rPr>
        <w:t xml:space="preserve">ods. 1 zákona o príspevku z EŠIF </w:t>
      </w:r>
      <w:r w:rsidRPr="00CD2887">
        <w:rPr>
          <w:rFonts w:cstheme="minorHAnsi"/>
          <w:b/>
          <w:shd w:val="clear" w:color="auto" w:fill="FFFFFF"/>
        </w:rPr>
        <w:t>právne účinky</w:t>
      </w:r>
      <w:r>
        <w:rPr>
          <w:rFonts w:cstheme="minorHAnsi"/>
          <w:shd w:val="clear" w:color="auto" w:fill="FFFFFF"/>
        </w:rPr>
        <w:t>. Zároveň platí, že uvedený zmena zmluvy o poskytnutí NFP sa nezverejňuje v Centrálnom registri zmlúv.</w:t>
      </w:r>
    </w:p>
    <w:p w14:paraId="74DCC785" w14:textId="77777777" w:rsidR="00F77089" w:rsidRDefault="00F77089" w:rsidP="00F77089">
      <w:pPr>
        <w:jc w:val="both"/>
        <w:rPr>
          <w:rFonts w:cstheme="minorHAnsi"/>
          <w:shd w:val="clear" w:color="auto" w:fill="FFFFFF"/>
        </w:rPr>
      </w:pPr>
    </w:p>
    <w:p w14:paraId="54DF3B9E" w14:textId="77777777" w:rsidR="00F77089" w:rsidRDefault="00F77089" w:rsidP="00F77089">
      <w:pPr>
        <w:jc w:val="both"/>
      </w:pPr>
      <w:r>
        <w:t xml:space="preserve">Ak </w:t>
      </w:r>
      <w:r w:rsidRPr="00463BCF">
        <w:rPr>
          <w:b/>
        </w:rPr>
        <w:t>prijímateľ nesúhlasí s hromadnou zmenou zmluvy o poskytnutí NFP</w:t>
      </w:r>
      <w:r>
        <w:t xml:space="preserve">, podľa </w:t>
      </w:r>
      <w:r>
        <w:rPr>
          <w:rFonts w:cstheme="minorHAnsi"/>
        </w:rPr>
        <w:t>§</w:t>
      </w:r>
      <w:r>
        <w:t xml:space="preserve"> 59 ods. 2 zákona o príspevku EŠIF môže </w:t>
      </w:r>
      <w:r w:rsidRPr="00706A87">
        <w:rPr>
          <w:b/>
        </w:rPr>
        <w:t>odstúpiť od zmluvy o poskytnutí NFP</w:t>
      </w:r>
      <w:r>
        <w:t xml:space="preserve">, a to </w:t>
      </w:r>
      <w:r w:rsidRPr="00706A87">
        <w:rPr>
          <w:b/>
        </w:rPr>
        <w:t>do 10 pracovných dní od doručenia Oznámenia hromadnej zmeny zmluvy o poskytnutí NFP</w:t>
      </w:r>
      <w:r>
        <w:t>, ktorým je jeho odoslanie na e-mailovú adresu, určenú prijímateľom.</w:t>
      </w:r>
    </w:p>
    <w:p w14:paraId="12FEF172" w14:textId="77777777" w:rsidR="00F77089" w:rsidRDefault="00F77089" w:rsidP="00F77089">
      <w:pPr>
        <w:jc w:val="both"/>
      </w:pPr>
    </w:p>
    <w:p w14:paraId="6638304D" w14:textId="77777777" w:rsidR="00053901" w:rsidRPr="00053901" w:rsidRDefault="00053901" w:rsidP="00F77089">
      <w:pPr>
        <w:jc w:val="both"/>
        <w:rPr>
          <w:rFonts w:cstheme="minorHAnsi"/>
        </w:rPr>
      </w:pPr>
    </w:p>
    <w:p w14:paraId="59815C1C" w14:textId="6011FC73" w:rsidR="00F77089" w:rsidRPr="001D3270" w:rsidRDefault="00F77089" w:rsidP="00F77089">
      <w:pPr>
        <w:jc w:val="both"/>
        <w:rPr>
          <w:b/>
        </w:rPr>
      </w:pPr>
      <w:r w:rsidRPr="001D3270">
        <w:rPr>
          <w:rFonts w:cstheme="minorHAnsi"/>
          <w:b/>
        </w:rPr>
        <w:lastRenderedPageBreak/>
        <w:t>Hromadná zmena</w:t>
      </w:r>
      <w:r>
        <w:rPr>
          <w:rFonts w:cstheme="minorHAnsi"/>
          <w:b/>
        </w:rPr>
        <w:t xml:space="preserve"> z</w:t>
      </w:r>
      <w:r w:rsidRPr="001D3270">
        <w:rPr>
          <w:rFonts w:cstheme="minorHAnsi"/>
          <w:b/>
        </w:rPr>
        <w:t>mluvy o</w:t>
      </w:r>
      <w:r>
        <w:rPr>
          <w:rFonts w:cstheme="minorHAnsi"/>
          <w:b/>
        </w:rPr>
        <w:t xml:space="preserve"> poskytnutí </w:t>
      </w:r>
      <w:r w:rsidRPr="001D3270">
        <w:rPr>
          <w:rFonts w:cstheme="minorHAnsi"/>
          <w:b/>
        </w:rPr>
        <w:t xml:space="preserve">NFP, </w:t>
      </w:r>
      <w:r w:rsidRPr="001D3270">
        <w:rPr>
          <w:b/>
        </w:rPr>
        <w:t>ktorou sa nahrádza príloha</w:t>
      </w:r>
      <w:r w:rsidRPr="00A2023A">
        <w:t xml:space="preserve"> </w:t>
      </w:r>
      <w:r w:rsidRPr="001D3270">
        <w:rPr>
          <w:b/>
        </w:rPr>
        <w:t>zmluvy o poskytnutí nenávratného finančného príspevku</w:t>
      </w:r>
      <w:r>
        <w:t xml:space="preserve">, ktorou sú </w:t>
      </w:r>
      <w:r w:rsidRPr="001D3270">
        <w:rPr>
          <w:b/>
        </w:rPr>
        <w:t xml:space="preserve">Všeobecné zmluvné podmienky </w:t>
      </w:r>
      <w:r>
        <w:t xml:space="preserve">(ďalej len „VZP“) </w:t>
      </w:r>
      <w:r w:rsidRPr="001D3270">
        <w:rPr>
          <w:b/>
        </w:rPr>
        <w:t>v</w:t>
      </w:r>
      <w:r>
        <w:rPr>
          <w:b/>
        </w:rPr>
        <w:t> </w:t>
      </w:r>
      <w:r w:rsidRPr="001D3270">
        <w:rPr>
          <w:b/>
        </w:rPr>
        <w:t>časti článkov 10, 11, 15, 16, 17a, 17b, 17c</w:t>
      </w:r>
      <w:r w:rsidRPr="00497EC6">
        <w:t xml:space="preserve"> (</w:t>
      </w:r>
      <w:r>
        <w:t>neaplikuje sa</w:t>
      </w:r>
      <w:r w:rsidRPr="00497EC6">
        <w:t>)</w:t>
      </w:r>
      <w:r w:rsidRPr="001D3270">
        <w:rPr>
          <w:b/>
        </w:rPr>
        <w:t>, 18 a</w:t>
      </w:r>
      <w:r>
        <w:rPr>
          <w:b/>
        </w:rPr>
        <w:t> </w:t>
      </w:r>
      <w:r w:rsidRPr="001D3270">
        <w:rPr>
          <w:b/>
        </w:rPr>
        <w:t>20</w:t>
      </w:r>
      <w:r w:rsidRPr="00EF167A">
        <w:t xml:space="preserve"> je nasledujúca</w:t>
      </w:r>
      <w:r w:rsidRPr="001D3270">
        <w:rPr>
          <w:b/>
        </w:rPr>
        <w:t>:</w:t>
      </w:r>
    </w:p>
    <w:p w14:paraId="52B772C4" w14:textId="77777777" w:rsidR="00F77089" w:rsidRPr="00EF167A" w:rsidRDefault="00F77089" w:rsidP="00F77089">
      <w:pPr>
        <w:pStyle w:val="Odsekzoznamu"/>
        <w:numPr>
          <w:ilvl w:val="0"/>
          <w:numId w:val="11"/>
        </w:numPr>
        <w:jc w:val="both"/>
      </w:pPr>
      <w:r w:rsidRPr="00EF167A">
        <w:rPr>
          <w:b/>
        </w:rPr>
        <w:t>Zmena zmluvy o poskytnutí nenávratného finančného príspevku</w:t>
      </w:r>
      <w:r w:rsidRPr="00EF167A">
        <w:t xml:space="preserve"> počas krízovej situácie (Hromadná zmena zmluvy zverejnená CO dňa 19.6.2020 č. 1) – finančné články vzťahujúce sa na </w:t>
      </w:r>
      <w:r w:rsidRPr="00EF167A">
        <w:rPr>
          <w:b/>
        </w:rPr>
        <w:t>prijímateľov s výnimkou štátnych rozpočtových organizácií</w:t>
      </w:r>
    </w:p>
    <w:p w14:paraId="62BAA5D0" w14:textId="77777777" w:rsidR="00F77089" w:rsidRDefault="00F77089" w:rsidP="00F77089">
      <w:pPr>
        <w:pStyle w:val="Odsekzoznamu"/>
        <w:numPr>
          <w:ilvl w:val="0"/>
          <w:numId w:val="11"/>
        </w:numPr>
        <w:jc w:val="both"/>
      </w:pPr>
      <w:r w:rsidRPr="00EF167A">
        <w:rPr>
          <w:b/>
        </w:rPr>
        <w:t>Zmena zmluvy o poskytnutí nenávratného finančného príspevku</w:t>
      </w:r>
      <w:r w:rsidRPr="00EF167A">
        <w:t xml:space="preserve"> počas</w:t>
      </w:r>
      <w:r>
        <w:t xml:space="preserve"> krízovej situácie (Hromadná zmena zmluvy zverejnená CO dňa 19.6.2020 č. 2) – finančné články vzťahujúce sa na </w:t>
      </w:r>
      <w:r w:rsidRPr="001E788C">
        <w:rPr>
          <w:b/>
        </w:rPr>
        <w:t>štátne rozpočtové organizácie</w:t>
      </w:r>
      <w:r>
        <w:t>.</w:t>
      </w:r>
    </w:p>
    <w:p w14:paraId="2D7809E2" w14:textId="77777777" w:rsidR="00F77089" w:rsidRPr="000B4586" w:rsidRDefault="00F77089" w:rsidP="00F77089">
      <w:pPr>
        <w:jc w:val="both"/>
        <w:rPr>
          <w:rFonts w:cstheme="minorHAnsi"/>
          <w:highlight w:val="yellow"/>
          <w:shd w:val="clear" w:color="auto" w:fill="FFFFFF"/>
        </w:rPr>
      </w:pPr>
    </w:p>
    <w:p w14:paraId="711FFD76" w14:textId="77777777" w:rsidR="00F77089" w:rsidRDefault="00F77089" w:rsidP="00F77089">
      <w:pPr>
        <w:jc w:val="both"/>
        <w:rPr>
          <w:rFonts w:cstheme="minorHAnsi"/>
          <w:b/>
          <w:shd w:val="clear" w:color="auto" w:fill="FFFFFF"/>
        </w:rPr>
      </w:pPr>
      <w:r w:rsidRPr="000B4586">
        <w:rPr>
          <w:rFonts w:cstheme="minorHAnsi"/>
          <w:b/>
          <w:shd w:val="clear" w:color="auto" w:fill="FFFFFF"/>
        </w:rPr>
        <w:t>Časové obmedzenie uplatňovania postupu</w:t>
      </w:r>
      <w:r>
        <w:rPr>
          <w:rFonts w:cstheme="minorHAnsi"/>
          <w:shd w:val="clear" w:color="auto" w:fill="FFFFFF"/>
        </w:rPr>
        <w:t>, v zmysle ktorého môže IA MPSVR SR pos</w:t>
      </w:r>
      <w:r w:rsidRPr="00D05B8C">
        <w:t xml:space="preserve">kytnúť </w:t>
      </w:r>
      <w:r>
        <w:t xml:space="preserve">prijímateľovi </w:t>
      </w:r>
      <w:r w:rsidRPr="00D05B8C">
        <w:t>ďalšiu zálohovú platbu aj bez predchádzajúceho schválenia Ž</w:t>
      </w:r>
      <w:r>
        <w:t>oP</w:t>
      </w:r>
      <w:r w:rsidRPr="00D05B8C">
        <w:t xml:space="preserve"> (zúčtovanie zálohovej platby)</w:t>
      </w:r>
    </w:p>
    <w:p w14:paraId="734B9A51" w14:textId="77777777" w:rsidR="00F77089" w:rsidRPr="004629BF" w:rsidRDefault="00F77089" w:rsidP="00F77089">
      <w:pPr>
        <w:pStyle w:val="Odsekzoznamu"/>
        <w:numPr>
          <w:ilvl w:val="0"/>
          <w:numId w:val="11"/>
        </w:numPr>
        <w:jc w:val="both"/>
        <w:rPr>
          <w:rFonts w:cstheme="minorHAnsi"/>
          <w:b/>
          <w:shd w:val="clear" w:color="auto" w:fill="FFFFFF"/>
        </w:rPr>
      </w:pPr>
      <w:r w:rsidRPr="000B4586">
        <w:rPr>
          <w:rFonts w:cstheme="minorHAnsi"/>
          <w:b/>
          <w:shd w:val="clear" w:color="auto" w:fill="FFFFFF"/>
        </w:rPr>
        <w:t>podľa odsek</w:t>
      </w:r>
      <w:r>
        <w:rPr>
          <w:rFonts w:cstheme="minorHAnsi"/>
          <w:b/>
          <w:shd w:val="clear" w:color="auto" w:fill="FFFFFF"/>
        </w:rPr>
        <w:t>u</w:t>
      </w:r>
      <w:r w:rsidRPr="000B4586">
        <w:rPr>
          <w:rFonts w:cstheme="minorHAnsi"/>
          <w:b/>
          <w:shd w:val="clear" w:color="auto" w:fill="FFFFFF"/>
        </w:rPr>
        <w:t xml:space="preserve"> 17 článku 17a</w:t>
      </w:r>
      <w:r w:rsidRPr="000B4586">
        <w:rPr>
          <w:rFonts w:cstheme="minorHAnsi"/>
          <w:shd w:val="clear" w:color="auto" w:fill="FFFFFF"/>
        </w:rPr>
        <w:t xml:space="preserve"> </w:t>
      </w:r>
      <w:r>
        <w:rPr>
          <w:rFonts w:cstheme="minorHAnsi"/>
          <w:b/>
          <w:shd w:val="clear" w:color="auto" w:fill="FFFFFF"/>
        </w:rPr>
        <w:t>VZP</w:t>
      </w:r>
      <w:r w:rsidRPr="000B4586">
        <w:rPr>
          <w:rFonts w:cstheme="minorHAnsi"/>
          <w:shd w:val="clear" w:color="auto" w:fill="FFFFFF"/>
        </w:rPr>
        <w:t xml:space="preserve"> zmluvy o poskytnutí NFP</w:t>
      </w:r>
      <w:r w:rsidRPr="001E788C">
        <w:rPr>
          <w:b/>
        </w:rPr>
        <w:t xml:space="preserve"> pre prijímateľov s výnimkou štátnych rozpočtových organizácií</w:t>
      </w:r>
      <w:r>
        <w:rPr>
          <w:b/>
        </w:rPr>
        <w:t xml:space="preserve"> </w:t>
      </w:r>
      <w:r>
        <w:t>alebo</w:t>
      </w:r>
    </w:p>
    <w:p w14:paraId="366BF868" w14:textId="77777777" w:rsidR="00F77089" w:rsidRDefault="00F77089" w:rsidP="00F77089">
      <w:pPr>
        <w:pStyle w:val="Odsekzoznamu"/>
        <w:numPr>
          <w:ilvl w:val="0"/>
          <w:numId w:val="11"/>
        </w:numPr>
        <w:jc w:val="both"/>
        <w:rPr>
          <w:rFonts w:cstheme="minorHAnsi"/>
          <w:b/>
          <w:shd w:val="clear" w:color="auto" w:fill="FFFFFF"/>
        </w:rPr>
      </w:pPr>
      <w:r w:rsidRPr="004629BF">
        <w:rPr>
          <w:rFonts w:cstheme="minorHAnsi"/>
          <w:b/>
          <w:shd w:val="clear" w:color="auto" w:fill="FFFFFF"/>
        </w:rPr>
        <w:t xml:space="preserve">podľa </w:t>
      </w:r>
      <w:r>
        <w:rPr>
          <w:rFonts w:cstheme="minorHAnsi"/>
          <w:b/>
          <w:shd w:val="clear" w:color="auto" w:fill="FFFFFF"/>
        </w:rPr>
        <w:t xml:space="preserve">odseku 18 článku 17a VZP </w:t>
      </w:r>
      <w:r>
        <w:rPr>
          <w:rFonts w:cstheme="minorHAnsi"/>
          <w:shd w:val="clear" w:color="auto" w:fill="FFFFFF"/>
        </w:rPr>
        <w:t xml:space="preserve">zmluvy o poskytnutí </w:t>
      </w:r>
      <w:r>
        <w:rPr>
          <w:rFonts w:cstheme="minorHAnsi"/>
          <w:b/>
          <w:shd w:val="clear" w:color="auto" w:fill="FFFFFF"/>
        </w:rPr>
        <w:t>pre štátne rozpočtové organizácie</w:t>
      </w:r>
      <w:r w:rsidRPr="00EF167A">
        <w:rPr>
          <w:rFonts w:cstheme="minorHAnsi"/>
          <w:shd w:val="clear" w:color="auto" w:fill="FFFFFF"/>
        </w:rPr>
        <w:t>,</w:t>
      </w:r>
    </w:p>
    <w:p w14:paraId="672585AC" w14:textId="77777777" w:rsidR="00F77089" w:rsidRPr="004629BF" w:rsidRDefault="00F77089" w:rsidP="00F77089">
      <w:pPr>
        <w:jc w:val="both"/>
        <w:rPr>
          <w:rFonts w:cstheme="minorHAnsi"/>
          <w:b/>
          <w:shd w:val="clear" w:color="auto" w:fill="FFFFFF"/>
        </w:rPr>
      </w:pPr>
      <w:r w:rsidRPr="004629BF">
        <w:rPr>
          <w:rFonts w:cstheme="minorHAnsi"/>
          <w:shd w:val="clear" w:color="auto" w:fill="FFFFFF"/>
        </w:rPr>
        <w:t xml:space="preserve">je </w:t>
      </w:r>
      <w:r>
        <w:rPr>
          <w:rFonts w:cstheme="minorHAnsi"/>
          <w:b/>
          <w:shd w:val="clear" w:color="auto" w:fill="FFFFFF"/>
        </w:rPr>
        <w:t>v</w:t>
      </w:r>
      <w:r w:rsidRPr="004629BF">
        <w:rPr>
          <w:rFonts w:cstheme="minorHAnsi"/>
          <w:b/>
          <w:shd w:val="clear" w:color="auto" w:fill="FFFFFF"/>
        </w:rPr>
        <w:t>iazané na platnosť iniciatívnej výnimky Ministerstva financií Slovenskej republiky</w:t>
      </w:r>
      <w:r w:rsidRPr="004629BF">
        <w:rPr>
          <w:rFonts w:cstheme="minorHAnsi"/>
          <w:shd w:val="clear" w:color="auto" w:fill="FFFFFF"/>
        </w:rPr>
        <w:t xml:space="preserve"> zo SFR, </w:t>
      </w:r>
      <w:r w:rsidRPr="004629BF">
        <w:rPr>
          <w:rFonts w:cstheme="minorHAnsi"/>
          <w:b/>
          <w:shd w:val="clear" w:color="auto" w:fill="FFFFFF"/>
        </w:rPr>
        <w:t>a to do 31.12.2020</w:t>
      </w:r>
      <w:r>
        <w:rPr>
          <w:rFonts w:cstheme="minorHAnsi"/>
          <w:shd w:val="clear" w:color="auto" w:fill="FFFFFF"/>
        </w:rPr>
        <w:t>.</w:t>
      </w:r>
    </w:p>
    <w:p w14:paraId="2585F3CC" w14:textId="77777777" w:rsidR="00F77089" w:rsidRDefault="00F77089" w:rsidP="00F77089">
      <w:pPr>
        <w:jc w:val="both"/>
        <w:rPr>
          <w:bCs/>
        </w:rPr>
      </w:pPr>
    </w:p>
    <w:p w14:paraId="1EE6AA8F" w14:textId="77777777" w:rsidR="00F77089" w:rsidRDefault="00F77089" w:rsidP="00F77089">
      <w:pPr>
        <w:jc w:val="both"/>
        <w:rPr>
          <w:b/>
        </w:rPr>
      </w:pPr>
      <w:r w:rsidRPr="00CF6583">
        <w:rPr>
          <w:b/>
          <w:bCs/>
        </w:rPr>
        <w:t>Poznámka:</w:t>
      </w:r>
      <w:r>
        <w:rPr>
          <w:bCs/>
        </w:rPr>
        <w:t xml:space="preserve"> </w:t>
      </w:r>
      <w:r>
        <w:t xml:space="preserve">Krízovou situáciou v rámci hromadnej zmeny zmluvy o poskytnutí NFP sa myslí </w:t>
      </w:r>
      <w:r w:rsidRPr="00400BDE">
        <w:t>čas mimoriadnej situácie, núdzového stavu alebo výnimočného stavu vyhláseného v súvislosti s ochorením COVID-19 a obdobie šiestich mesiacov</w:t>
      </w:r>
      <w:r>
        <w:t xml:space="preserve"> nasledujúcich po ich odvolaní.</w:t>
      </w:r>
    </w:p>
    <w:p w14:paraId="1229F470" w14:textId="77777777" w:rsidR="00F77089" w:rsidRDefault="00F77089" w:rsidP="00F77089">
      <w:pPr>
        <w:jc w:val="both"/>
        <w:rPr>
          <w:bCs/>
        </w:rPr>
      </w:pPr>
    </w:p>
    <w:p w14:paraId="5D99CFA8" w14:textId="77777777" w:rsidR="006F0605" w:rsidRPr="00053901" w:rsidRDefault="006F0605" w:rsidP="00053901">
      <w:pPr>
        <w:jc w:val="both"/>
        <w:rPr>
          <w:bCs/>
        </w:rPr>
      </w:pPr>
    </w:p>
    <w:p w14:paraId="21BA30F4" w14:textId="77777777" w:rsidR="00F77089" w:rsidRPr="00F77089" w:rsidRDefault="00F77089" w:rsidP="00F77089">
      <w:pPr>
        <w:jc w:val="center"/>
        <w:rPr>
          <w:rFonts w:cstheme="minorHAnsi"/>
          <w:b/>
          <w:color w:val="F79646" w:themeColor="accent6"/>
          <w:sz w:val="26"/>
          <w:szCs w:val="26"/>
          <w:shd w:val="clear" w:color="auto" w:fill="FFFFFF"/>
        </w:rPr>
      </w:pPr>
      <w:r w:rsidRPr="00F77089">
        <w:rPr>
          <w:rFonts w:cstheme="minorHAnsi"/>
          <w:b/>
          <w:color w:val="F79646" w:themeColor="accent6"/>
          <w:sz w:val="26"/>
          <w:szCs w:val="26"/>
          <w:shd w:val="clear" w:color="auto" w:fill="FFFFFF"/>
        </w:rPr>
        <w:t>ROZSAH VYKONANÝCH ZMIEN</w:t>
      </w:r>
    </w:p>
    <w:p w14:paraId="7EF4CDE3" w14:textId="77777777" w:rsidR="00F77089" w:rsidRDefault="00F77089" w:rsidP="00F77089">
      <w:pPr>
        <w:jc w:val="center"/>
        <w:rPr>
          <w:rFonts w:cstheme="minorHAnsi"/>
          <w:b/>
          <w:shd w:val="clear" w:color="auto" w:fill="FFFFFF"/>
        </w:rPr>
      </w:pPr>
    </w:p>
    <w:p w14:paraId="3CADF941" w14:textId="3F7F1C49" w:rsidR="00F77089" w:rsidRPr="00F77089" w:rsidRDefault="00F77089" w:rsidP="006F0605">
      <w:pPr>
        <w:pBdr>
          <w:bottom w:val="single" w:sz="4" w:space="1" w:color="auto"/>
        </w:pBdr>
        <w:rPr>
          <w:b/>
          <w:color w:val="F79646" w:themeColor="accent6"/>
        </w:rPr>
      </w:pPr>
      <w:r w:rsidRPr="00F77089">
        <w:rPr>
          <w:b/>
          <w:color w:val="F79646" w:themeColor="accent6"/>
        </w:rPr>
        <w:t>Vysporiadanie finančných vzťahov v zmysle čl. 10 ods. 4 VZP v spojitosti s čl. 10 ods. 15 VZP</w:t>
      </w:r>
    </w:p>
    <w:p w14:paraId="0AFBFBDE" w14:textId="77777777" w:rsidR="00F77089" w:rsidRPr="00E8160D" w:rsidRDefault="00F77089" w:rsidP="00F77089">
      <w:pPr>
        <w:jc w:val="both"/>
        <w:rPr>
          <w:b/>
          <w:i/>
        </w:rPr>
      </w:pPr>
      <w:r w:rsidRPr="00E8160D">
        <w:rPr>
          <w:b/>
          <w:i/>
        </w:rPr>
        <w:t>Platí pre: prijímatelia s výnimkou štátnych rozpočtových organizácií a štátne rozpočtové organizácie.</w:t>
      </w:r>
    </w:p>
    <w:p w14:paraId="7FFA1FA1" w14:textId="77777777" w:rsidR="00F77089" w:rsidRDefault="00F77089" w:rsidP="00F77089">
      <w:pPr>
        <w:jc w:val="both"/>
      </w:pPr>
      <w:r>
        <w:t>Počas krízovej situácie sa upravuje lehota na vrátenie NFP alebo jeho časti nasledovne:</w:t>
      </w:r>
    </w:p>
    <w:p w14:paraId="399C553B" w14:textId="3A5C96E2" w:rsidR="00F77089" w:rsidRDefault="00F77089" w:rsidP="00F77089">
      <w:pPr>
        <w:pStyle w:val="Odsekzoznamu"/>
        <w:numPr>
          <w:ilvl w:val="0"/>
          <w:numId w:val="11"/>
        </w:numPr>
        <w:jc w:val="both"/>
      </w:pPr>
      <w:r w:rsidRPr="00B40F88">
        <w:rPr>
          <w:b/>
        </w:rPr>
        <w:t xml:space="preserve">ak čo i len deň pôvodnej 60-dňovej lehoty </w:t>
      </w:r>
      <w:r>
        <w:rPr>
          <w:b/>
        </w:rPr>
        <w:t xml:space="preserve">žiadosti o vrátenie </w:t>
      </w:r>
      <w:r w:rsidRPr="00400BDE">
        <w:t>(ďalej len „</w:t>
      </w:r>
      <w:proofErr w:type="spellStart"/>
      <w:r w:rsidRPr="00400BDE">
        <w:t>ŽoV</w:t>
      </w:r>
      <w:proofErr w:type="spellEnd"/>
      <w:r w:rsidRPr="00400BDE">
        <w:t>“)</w:t>
      </w:r>
      <w:r>
        <w:rPr>
          <w:b/>
        </w:rPr>
        <w:t xml:space="preserve"> </w:t>
      </w:r>
      <w:r w:rsidRPr="00B40F88">
        <w:rPr>
          <w:b/>
        </w:rPr>
        <w:t>pripadne na obdobie krízo</w:t>
      </w:r>
      <w:r>
        <w:rPr>
          <w:b/>
        </w:rPr>
        <w:t>vej situácie podľa § 56 ods. 1 z</w:t>
      </w:r>
      <w:r w:rsidRPr="00B40F88">
        <w:rPr>
          <w:b/>
        </w:rPr>
        <w:t>ákona o príspevku z</w:t>
      </w:r>
      <w:r>
        <w:rPr>
          <w:b/>
        </w:rPr>
        <w:t> </w:t>
      </w:r>
      <w:r w:rsidRPr="00B40F88">
        <w:rPr>
          <w:b/>
        </w:rPr>
        <w:t>EŠIF</w:t>
      </w:r>
      <w:r>
        <w:rPr>
          <w:b/>
        </w:rPr>
        <w:t>, uplatní sa lehota 120</w:t>
      </w:r>
      <w:r w:rsidR="003A42D6">
        <w:rPr>
          <w:b/>
        </w:rPr>
        <w:t> </w:t>
      </w:r>
      <w:r>
        <w:rPr>
          <w:b/>
        </w:rPr>
        <w:t>dní</w:t>
      </w:r>
      <w:r>
        <w:t xml:space="preserve"> </w:t>
      </w:r>
      <w:r>
        <w:rPr>
          <w:b/>
        </w:rPr>
        <w:t xml:space="preserve">odo dňa sprístupnenia </w:t>
      </w:r>
      <w:proofErr w:type="spellStart"/>
      <w:r>
        <w:rPr>
          <w:b/>
        </w:rPr>
        <w:t>ŽoV</w:t>
      </w:r>
      <w:proofErr w:type="spellEnd"/>
      <w:r w:rsidRPr="00A00403">
        <w:rPr>
          <w:b/>
        </w:rPr>
        <w:t xml:space="preserve"> prijímateľovi vo verejnej časti ITMS2014</w:t>
      </w:r>
      <w:r>
        <w:rPr>
          <w:b/>
        </w:rPr>
        <w:t>+</w:t>
      </w:r>
      <w:r>
        <w:t>.</w:t>
      </w:r>
    </w:p>
    <w:p w14:paraId="3D7E8815" w14:textId="77777777" w:rsidR="00F77089" w:rsidRPr="00242688" w:rsidRDefault="00F77089" w:rsidP="00F77089">
      <w:pPr>
        <w:jc w:val="both"/>
      </w:pPr>
    </w:p>
    <w:p w14:paraId="3A376AB1" w14:textId="77777777" w:rsidR="00F77089" w:rsidRPr="00365691" w:rsidRDefault="00F77089" w:rsidP="00F77089">
      <w:pPr>
        <w:jc w:val="both"/>
        <w:rPr>
          <w:b/>
        </w:rPr>
      </w:pPr>
      <w:r>
        <w:rPr>
          <w:b/>
        </w:rPr>
        <w:t>Poznámka:</w:t>
      </w:r>
    </w:p>
    <w:p w14:paraId="7B04D2B4" w14:textId="77777777" w:rsidR="00F77089" w:rsidRPr="007C0838" w:rsidRDefault="00F77089" w:rsidP="00F77089">
      <w:pPr>
        <w:jc w:val="both"/>
      </w:pPr>
      <w:r>
        <w:t>U</w:t>
      </w:r>
      <w:r w:rsidRPr="007C0838">
        <w:t xml:space="preserve">vedená zmena sa vzťahuje na prijímateľov, ktorým bola zaslaná </w:t>
      </w:r>
      <w:proofErr w:type="spellStart"/>
      <w:r>
        <w:t>ŽoV</w:t>
      </w:r>
      <w:proofErr w:type="spellEnd"/>
      <w:r w:rsidRPr="007C0838">
        <w:t xml:space="preserve"> a ku dňu vyhlásenia </w:t>
      </w:r>
      <w:r>
        <w:t>mimoriadnej situácie</w:t>
      </w:r>
      <w:r w:rsidRPr="007C0838">
        <w:t xml:space="preserve">, </w:t>
      </w:r>
      <w:r>
        <w:t>t.j</w:t>
      </w:r>
      <w:r w:rsidRPr="007C0838">
        <w:t xml:space="preserve">. k </w:t>
      </w:r>
      <w:r>
        <w:t>12</w:t>
      </w:r>
      <w:r w:rsidRPr="007C0838">
        <w:t>.03.2020 neuplynula 60</w:t>
      </w:r>
      <w:r>
        <w:t>-</w:t>
      </w:r>
      <w:r w:rsidRPr="007C0838">
        <w:t xml:space="preserve">dňová lehota na vrátenie </w:t>
      </w:r>
      <w:r>
        <w:t>NFP</w:t>
      </w:r>
      <w:r w:rsidRPr="007C0838">
        <w:t xml:space="preserve"> alebo jeho časti.</w:t>
      </w:r>
      <w:r w:rsidRPr="00400BDE">
        <w:t xml:space="preserve"> Začiatok plynutia 120-dňovej lehoty je totožný s dňom sprístupnenia </w:t>
      </w:r>
      <w:proofErr w:type="spellStart"/>
      <w:r w:rsidRPr="00400BDE">
        <w:t>ŽoV</w:t>
      </w:r>
      <w:proofErr w:type="spellEnd"/>
      <w:r w:rsidRPr="00400BDE">
        <w:t xml:space="preserve"> v ITMS 2014+, t.j. začiatok plynutia lehoty sa nemení.</w:t>
      </w:r>
    </w:p>
    <w:p w14:paraId="03DDA9C4" w14:textId="77777777" w:rsidR="00F77089" w:rsidRPr="00053901" w:rsidRDefault="00F77089" w:rsidP="00F77089">
      <w:pPr>
        <w:jc w:val="both"/>
      </w:pPr>
    </w:p>
    <w:p w14:paraId="03142B65" w14:textId="77777777" w:rsidR="00F77089" w:rsidRPr="0082220C" w:rsidRDefault="00F77089" w:rsidP="00F77089">
      <w:pPr>
        <w:jc w:val="both"/>
        <w:rPr>
          <w:b/>
        </w:rPr>
      </w:pPr>
      <w:r w:rsidRPr="0082220C">
        <w:rPr>
          <w:b/>
        </w:rPr>
        <w:t>Postup prijímateľa:</w:t>
      </w:r>
    </w:p>
    <w:p w14:paraId="37D179AA" w14:textId="77777777" w:rsidR="00F77089" w:rsidRDefault="00F77089" w:rsidP="00F77089">
      <w:pPr>
        <w:jc w:val="both"/>
      </w:pPr>
      <w:r>
        <w:t>Bez potreby iniciatívy zo strany prijímateľa; aplikovateľné v nadväznosti na nadobudnutie účinnosti zmeny zmluvy o poskytnutí NFP.</w:t>
      </w:r>
    </w:p>
    <w:p w14:paraId="37B412DE" w14:textId="77777777" w:rsidR="00852814" w:rsidRPr="00053901" w:rsidRDefault="00852814" w:rsidP="00F77089"/>
    <w:p w14:paraId="137E5EB7" w14:textId="08D65E12" w:rsidR="00F77089" w:rsidRPr="00F77089" w:rsidRDefault="00F77089" w:rsidP="00F77089">
      <w:pPr>
        <w:pBdr>
          <w:bottom w:val="single" w:sz="4" w:space="1" w:color="auto"/>
        </w:pBdr>
        <w:rPr>
          <w:b/>
          <w:color w:val="F79646" w:themeColor="accent6"/>
        </w:rPr>
      </w:pPr>
      <w:r w:rsidRPr="00F77089">
        <w:rPr>
          <w:b/>
          <w:color w:val="F79646" w:themeColor="accent6"/>
        </w:rPr>
        <w:t>Vysporiadanie finančných vzťahov v zmysle čl. 10 VZP</w:t>
      </w:r>
    </w:p>
    <w:p w14:paraId="54CE15A5" w14:textId="77777777" w:rsidR="00F77089" w:rsidRDefault="00F77089" w:rsidP="00F77089">
      <w:pPr>
        <w:jc w:val="both"/>
        <w:rPr>
          <w:b/>
          <w:i/>
        </w:rPr>
      </w:pPr>
      <w:r w:rsidRPr="00E8160D">
        <w:rPr>
          <w:b/>
          <w:i/>
        </w:rPr>
        <w:t>Platí pre:</w:t>
      </w:r>
      <w:r>
        <w:rPr>
          <w:b/>
          <w:i/>
        </w:rPr>
        <w:t xml:space="preserve"> štátne rozpočtové organizácie.</w:t>
      </w:r>
    </w:p>
    <w:p w14:paraId="01214558" w14:textId="77777777" w:rsidR="00F77089" w:rsidRDefault="00F77089" w:rsidP="00F77089">
      <w:pPr>
        <w:jc w:val="both"/>
      </w:pPr>
      <w:r>
        <w:t>Záväzok prijímateľa sa dopĺňa nasledovne:</w:t>
      </w:r>
    </w:p>
    <w:p w14:paraId="746DF1BF" w14:textId="77777777" w:rsidR="00F77089" w:rsidRDefault="00F77089" w:rsidP="00F77089">
      <w:pPr>
        <w:pStyle w:val="Odsekzoznamu"/>
        <w:numPr>
          <w:ilvl w:val="0"/>
          <w:numId w:val="24"/>
        </w:numPr>
        <w:jc w:val="both"/>
      </w:pPr>
      <w:r w:rsidRPr="0068747F">
        <w:t>odviesť výnos z prostriedkov NFP podľa § 7 odsek 1 písmeno m) zákona  o rozpočtových pravidlách vzniknutý na základe úročenia poskytnutého NFP (ďalej len „výnos“); uvedené platí len v prípade poskytnutia NFP systémom zálohovej platby; suma neprevyšujúca 40 EUR podľa § 33 odsek 2 zákona o príspevku z EŠIF sa v tomto prípade neuplatňuje,</w:t>
      </w:r>
    </w:p>
    <w:p w14:paraId="38E00FBE" w14:textId="77777777" w:rsidR="00F77089" w:rsidRDefault="00F77089" w:rsidP="00F77089">
      <w:pPr>
        <w:jc w:val="both"/>
      </w:pPr>
    </w:p>
    <w:p w14:paraId="7603D3C0" w14:textId="77777777" w:rsidR="00053901" w:rsidRDefault="00053901" w:rsidP="00F77089">
      <w:pPr>
        <w:jc w:val="both"/>
      </w:pPr>
    </w:p>
    <w:p w14:paraId="6F2033A8" w14:textId="77777777" w:rsidR="00852814" w:rsidRDefault="00852814" w:rsidP="00F77089">
      <w:pPr>
        <w:jc w:val="both"/>
      </w:pPr>
    </w:p>
    <w:p w14:paraId="06C8CBDC" w14:textId="77777777" w:rsidR="00F77089" w:rsidRDefault="00F77089" w:rsidP="00F77089">
      <w:pPr>
        <w:jc w:val="both"/>
      </w:pPr>
      <w:r>
        <w:lastRenderedPageBreak/>
        <w:t>Vysporiadanie finančných vzťahov sa dopĺňa nasledovne:</w:t>
      </w:r>
    </w:p>
    <w:p w14:paraId="6041769C" w14:textId="234991A7" w:rsidR="00F77089" w:rsidRPr="00B77F79" w:rsidRDefault="00F77089" w:rsidP="00F77089">
      <w:pPr>
        <w:pStyle w:val="Odsekzoznamu"/>
        <w:numPr>
          <w:ilvl w:val="0"/>
          <w:numId w:val="24"/>
        </w:numPr>
        <w:jc w:val="both"/>
      </w:pPr>
      <w:r w:rsidRPr="00B77F79">
        <w:t>Vrátenie NFP alebo jeho časti formou platby na účet je Prijímateľ povinný realizovať prostredníctvom príkazu na SEPA inkaso v rámci ITMS2014+ s uvedením jedinečného, ITMS2014+ automaticky generovaného variabilného symbolu; to neplatí pre Prijímateľa, ktorý je št</w:t>
      </w:r>
      <w:r w:rsidR="003A42D6">
        <w:t>átnou rozpočtovou organizáciou.</w:t>
      </w:r>
    </w:p>
    <w:p w14:paraId="4A7027A5" w14:textId="4E178781" w:rsidR="00F77089" w:rsidRPr="00B77F79" w:rsidRDefault="00F77089" w:rsidP="00F77089">
      <w:pPr>
        <w:pStyle w:val="Odsekzoznamu"/>
        <w:numPr>
          <w:ilvl w:val="0"/>
          <w:numId w:val="24"/>
        </w:numPr>
        <w:jc w:val="both"/>
        <w:rPr>
          <w:rFonts w:cstheme="minorHAnsi"/>
        </w:rPr>
      </w:pPr>
      <w:r w:rsidRPr="00B77F79">
        <w:rPr>
          <w:rFonts w:cstheme="minorHAnsi"/>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w:t>
      </w:r>
      <w:r w:rsidR="003A42D6">
        <w:rPr>
          <w:rFonts w:cstheme="minorHAnsi"/>
        </w:rPr>
        <w:t>erovaného variabilného symbolu.</w:t>
      </w:r>
    </w:p>
    <w:p w14:paraId="4BADD123" w14:textId="690ED468" w:rsidR="00F77089" w:rsidRPr="00B77F79" w:rsidRDefault="00F77089" w:rsidP="00F77089">
      <w:pPr>
        <w:numPr>
          <w:ilvl w:val="0"/>
          <w:numId w:val="24"/>
        </w:numPr>
        <w:jc w:val="both"/>
        <w:rPr>
          <w:rFonts w:cstheme="minorHAnsi"/>
        </w:rPr>
      </w:pPr>
      <w:r w:rsidRPr="00B77F79">
        <w:rPr>
          <w:rFonts w:cstheme="minorHAnsi"/>
        </w:rPr>
        <w:t xml:space="preserve">Pre zabezpečenie využitia príkazu na SEPA inkaso ako spôsobu vrátenia NFP alebo jeho časti sa Prijímateľ najneskôr pred zadaním prvého príkazu na SEPA inkaso prostredníctvom ITMS2014+ v zmysle odseku 6 tohto článku VZP </w:t>
      </w:r>
      <w:r w:rsidR="003A42D6">
        <w:rPr>
          <w:rFonts w:cstheme="minorHAnsi"/>
        </w:rPr>
        <w:t>zaväzuje zabezpečiť nasledovné:</w:t>
      </w:r>
    </w:p>
    <w:p w14:paraId="663D10A4" w14:textId="77777777" w:rsidR="00F77089" w:rsidRPr="00B77F79" w:rsidRDefault="00F77089" w:rsidP="00F77089">
      <w:pPr>
        <w:numPr>
          <w:ilvl w:val="1"/>
          <w:numId w:val="24"/>
        </w:numPr>
        <w:jc w:val="both"/>
        <w:rPr>
          <w:rFonts w:cstheme="minorHAnsi"/>
        </w:rPr>
      </w:pPr>
      <w:r w:rsidRPr="00B77F79">
        <w:rPr>
          <w:rFonts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4FB4571E" w14:textId="77777777" w:rsidR="00F77089" w:rsidRPr="00B77F79" w:rsidRDefault="00F77089" w:rsidP="00F77089">
      <w:pPr>
        <w:numPr>
          <w:ilvl w:val="1"/>
          <w:numId w:val="24"/>
        </w:numPr>
        <w:jc w:val="both"/>
        <w:rPr>
          <w:rFonts w:cstheme="minorHAnsi"/>
        </w:rPr>
      </w:pPr>
      <w:r w:rsidRPr="00B77F79">
        <w:rPr>
          <w:rFonts w:cstheme="minorHAnsi"/>
        </w:rPr>
        <w:t>Prijímateľ na základe podpísaného Mandátu na inkaso zadá súhlas s inkasom v banke, v ktorej má zriadený účet, z ktorého chce realizovať vrátenie NFP alebo jeho časti.</w:t>
      </w:r>
    </w:p>
    <w:p w14:paraId="547EF72F" w14:textId="57D95D0A" w:rsidR="00F77089" w:rsidRPr="00B77F79" w:rsidRDefault="00F77089" w:rsidP="00F77089">
      <w:pPr>
        <w:ind w:left="567" w:hanging="567"/>
        <w:jc w:val="both"/>
        <w:rPr>
          <w:rFonts w:cstheme="minorHAnsi"/>
        </w:rPr>
      </w:pPr>
      <w:r w:rsidRPr="00B77F79">
        <w:rPr>
          <w:rFonts w:cstheme="minorHAnsi"/>
        </w:rPr>
        <w:tab/>
        <w:t>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w:t>
      </w:r>
      <w:r w:rsidR="003A42D6">
        <w:rPr>
          <w:rFonts w:cstheme="minorHAnsi"/>
        </w:rPr>
        <w:t>sporiadania finančných vzťahov.</w:t>
      </w:r>
    </w:p>
    <w:p w14:paraId="25DDA563" w14:textId="77777777" w:rsidR="00F77089" w:rsidRPr="00053901" w:rsidRDefault="00F77089" w:rsidP="00F77089">
      <w:pPr>
        <w:jc w:val="both"/>
      </w:pPr>
    </w:p>
    <w:p w14:paraId="431E7C3D" w14:textId="77777777" w:rsidR="00F77089" w:rsidRPr="0082220C" w:rsidRDefault="00F77089" w:rsidP="00F77089">
      <w:pPr>
        <w:jc w:val="both"/>
        <w:rPr>
          <w:b/>
        </w:rPr>
      </w:pPr>
      <w:r w:rsidRPr="0082220C">
        <w:rPr>
          <w:b/>
        </w:rPr>
        <w:t>Postup prijímateľa:</w:t>
      </w:r>
    </w:p>
    <w:p w14:paraId="03910F9F" w14:textId="77777777" w:rsidR="00F77089" w:rsidRDefault="00F77089" w:rsidP="00F77089">
      <w:pPr>
        <w:jc w:val="both"/>
      </w:pPr>
      <w:r>
        <w:t>Bez potreby iniciatívy zo strany prijímateľa; aplikovateľné v nadväznosti na nadobudnutie účinnosti zmeny zmluvy o poskytnutí NFP.</w:t>
      </w:r>
    </w:p>
    <w:p w14:paraId="6F1109F8" w14:textId="77777777" w:rsidR="00F77089" w:rsidRDefault="00F77089" w:rsidP="00F77089">
      <w:pPr>
        <w:jc w:val="both"/>
      </w:pPr>
    </w:p>
    <w:p w14:paraId="22E399F4" w14:textId="526B0A31" w:rsidR="00F77089" w:rsidRPr="00F77089" w:rsidRDefault="00F77089" w:rsidP="00F77089">
      <w:pPr>
        <w:pBdr>
          <w:bottom w:val="single" w:sz="4" w:space="1" w:color="auto"/>
        </w:pBdr>
        <w:jc w:val="both"/>
        <w:rPr>
          <w:b/>
          <w:color w:val="F79646" w:themeColor="accent6"/>
        </w:rPr>
      </w:pPr>
      <w:r w:rsidRPr="00F77089">
        <w:rPr>
          <w:b/>
          <w:color w:val="F79646" w:themeColor="accent6"/>
        </w:rPr>
        <w:t>Účty prijímateľa v zmysle čl. 15 VZP</w:t>
      </w:r>
    </w:p>
    <w:p w14:paraId="180535D0" w14:textId="77777777" w:rsidR="00F77089" w:rsidRDefault="00F77089" w:rsidP="00F77089">
      <w:pPr>
        <w:jc w:val="both"/>
        <w:rPr>
          <w:b/>
          <w:i/>
        </w:rPr>
      </w:pPr>
      <w:r w:rsidRPr="00E8160D">
        <w:rPr>
          <w:b/>
          <w:i/>
        </w:rPr>
        <w:t>Platí pre:</w:t>
      </w:r>
      <w:r>
        <w:rPr>
          <w:b/>
          <w:i/>
        </w:rPr>
        <w:t xml:space="preserve"> štátne rozpočtové organizácie.</w:t>
      </w:r>
    </w:p>
    <w:p w14:paraId="1AEE2549" w14:textId="77777777" w:rsidR="00F77089" w:rsidRDefault="00F77089" w:rsidP="00F77089">
      <w:pPr>
        <w:jc w:val="both"/>
      </w:pPr>
      <w:r>
        <w:t>Článok sa upravuje nasledovne:</w:t>
      </w:r>
    </w:p>
    <w:p w14:paraId="3D192841" w14:textId="77777777" w:rsidR="00F77089" w:rsidRDefault="00F77089" w:rsidP="00F77089">
      <w:pPr>
        <w:pStyle w:val="Odsekzoznamu"/>
        <w:numPr>
          <w:ilvl w:val="0"/>
          <w:numId w:val="25"/>
        </w:numPr>
        <w:jc w:val="both"/>
      </w:pPr>
      <w:r w:rsidRPr="00740E94">
        <w:t>Poskytovateľ zabezpečí poskytnutie NFP (ďalej aj „platba“) Prijímateľovi bezhotovostne formou rozpočtového opatrenia v súlade so zákonom o rozpočtových pravidlách na Prijímateľom určený výdavkový účet vedený v EUR (ďalej len ,,účet Prijímateľa“).</w:t>
      </w:r>
    </w:p>
    <w:p w14:paraId="092A0B13" w14:textId="77777777" w:rsidR="00F77089" w:rsidRPr="00740E94" w:rsidRDefault="00F77089" w:rsidP="00F77089">
      <w:pPr>
        <w:pStyle w:val="Odsekzoznamu"/>
        <w:jc w:val="both"/>
      </w:pPr>
      <w:r w:rsidRPr="00740E94">
        <w:t>Prijímateľ je povinný udržiavať účet Prijímateľa otvorený a nesmie ho zrušiť až do finančného ukončenia Projektu. Ak je účtom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príslušnej kapitoly Systému finančného riadenia.</w:t>
      </w:r>
    </w:p>
    <w:p w14:paraId="2CF799FE" w14:textId="77777777" w:rsidR="00F77089" w:rsidRPr="00740E94" w:rsidRDefault="00F77089" w:rsidP="00F77089">
      <w:pPr>
        <w:pStyle w:val="Odsekzoznamu"/>
        <w:jc w:val="both"/>
      </w:pPr>
      <w:r w:rsidRPr="00740E94">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31DB60B1" w14:textId="77777777" w:rsidR="00F77089" w:rsidRPr="00740E94" w:rsidRDefault="00F77089" w:rsidP="00F77089">
      <w:pPr>
        <w:pStyle w:val="Odsekzoznamu"/>
        <w:numPr>
          <w:ilvl w:val="0"/>
          <w:numId w:val="25"/>
        </w:numPr>
        <w:jc w:val="both"/>
      </w:pPr>
      <w:r w:rsidRPr="00740E94">
        <w:t>Oprávnený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481941B7" w14:textId="77777777" w:rsidR="00F77089" w:rsidRPr="00740E94" w:rsidRDefault="00F77089" w:rsidP="00F77089">
      <w:pPr>
        <w:pStyle w:val="Odsekzoznamu"/>
        <w:numPr>
          <w:ilvl w:val="0"/>
          <w:numId w:val="25"/>
        </w:numPr>
        <w:jc w:val="both"/>
      </w:pPr>
      <w:r w:rsidRPr="00740E94">
        <w:t>Ak sa Projekt realizuje prostredníctvom subjektu v zriaďovateľskej pôsobnosti Prijímateľa postupuje sa v zmysle príslušnej kapitoly Systému finančného riadenia.</w:t>
      </w:r>
    </w:p>
    <w:p w14:paraId="30A52CD8" w14:textId="77777777" w:rsidR="00F77089" w:rsidRPr="0082220C" w:rsidRDefault="00F77089" w:rsidP="00F77089">
      <w:pPr>
        <w:jc w:val="both"/>
        <w:rPr>
          <w:b/>
        </w:rPr>
      </w:pPr>
      <w:r w:rsidRPr="0082220C">
        <w:rPr>
          <w:b/>
        </w:rPr>
        <w:lastRenderedPageBreak/>
        <w:t>Postup prijímateľa:</w:t>
      </w:r>
    </w:p>
    <w:p w14:paraId="4BB63090" w14:textId="77777777" w:rsidR="00F77089" w:rsidRDefault="00F77089" w:rsidP="00F77089">
      <w:pPr>
        <w:jc w:val="both"/>
      </w:pPr>
      <w:r>
        <w:t>Bez potreby iniciatívy zo strany prijímateľa; aplikovateľné v nadväznosti na nadobudnutie účinnosti zmeny zmluvy o poskytnutí NFP.</w:t>
      </w:r>
    </w:p>
    <w:p w14:paraId="2771D2D7" w14:textId="77777777" w:rsidR="00F77089" w:rsidRDefault="00F77089" w:rsidP="00F77089">
      <w:pPr>
        <w:jc w:val="both"/>
      </w:pPr>
      <w:bookmarkStart w:id="0" w:name="_GoBack"/>
      <w:bookmarkEnd w:id="0"/>
    </w:p>
    <w:p w14:paraId="0D42B6A5" w14:textId="4FC3CC30" w:rsidR="00F77089" w:rsidRPr="00F77089" w:rsidRDefault="00F77089" w:rsidP="00F77089">
      <w:pPr>
        <w:pBdr>
          <w:bottom w:val="single" w:sz="4" w:space="1" w:color="auto"/>
        </w:pBdr>
        <w:jc w:val="both"/>
        <w:rPr>
          <w:b/>
          <w:color w:val="F79646" w:themeColor="accent6"/>
        </w:rPr>
      </w:pPr>
      <w:r w:rsidRPr="00F77089">
        <w:rPr>
          <w:b/>
          <w:color w:val="F79646" w:themeColor="accent6"/>
        </w:rPr>
        <w:t>Platby systémom zálohových platieb v zmysle čl. 17a VZP</w:t>
      </w:r>
    </w:p>
    <w:p w14:paraId="7CB795AE" w14:textId="77777777" w:rsidR="00F77089" w:rsidRPr="003A42D6" w:rsidRDefault="00F77089" w:rsidP="00F77089">
      <w:pPr>
        <w:pStyle w:val="Odsekzoznamu"/>
        <w:numPr>
          <w:ilvl w:val="0"/>
          <w:numId w:val="12"/>
        </w:numPr>
        <w:jc w:val="both"/>
        <w:rPr>
          <w:b/>
          <w:u w:val="single"/>
        </w:rPr>
      </w:pPr>
      <w:r w:rsidRPr="003A42D6">
        <w:rPr>
          <w:b/>
          <w:u w:val="single"/>
        </w:rPr>
        <w:t>Úprava vzťahujúca sa k systému platieb</w:t>
      </w:r>
    </w:p>
    <w:p w14:paraId="29F64234" w14:textId="6A544C4C" w:rsidR="00F77089" w:rsidRPr="00E8160D" w:rsidRDefault="00F77089" w:rsidP="00F77089">
      <w:pPr>
        <w:jc w:val="both"/>
        <w:rPr>
          <w:b/>
          <w:i/>
        </w:rPr>
      </w:pPr>
      <w:r w:rsidRPr="00E8160D">
        <w:rPr>
          <w:b/>
          <w:i/>
        </w:rPr>
        <w:t>Platí pre: prijímatelia</w:t>
      </w:r>
      <w:r w:rsidR="00F06477" w:rsidRPr="006E1D86">
        <w:rPr>
          <w:rStyle w:val="Odkaznapoznmkupodiarou"/>
          <w:b/>
          <w:i/>
          <w:color w:val="FF0000"/>
        </w:rPr>
        <w:footnoteReference w:id="1"/>
      </w:r>
      <w:r w:rsidRPr="00E8160D">
        <w:rPr>
          <w:b/>
          <w:i/>
        </w:rPr>
        <w:t xml:space="preserve"> s výnimkou štátnych rozpočtových organizácií a štátne rozpočtové organizácie.</w:t>
      </w:r>
    </w:p>
    <w:p w14:paraId="67568075" w14:textId="77777777" w:rsidR="00F77089" w:rsidRPr="00D50FD2" w:rsidRDefault="00F77089" w:rsidP="00F77089">
      <w:pPr>
        <w:jc w:val="both"/>
        <w:rPr>
          <w:b/>
        </w:rPr>
      </w:pPr>
      <w:r w:rsidRPr="00D50FD2">
        <w:rPr>
          <w:b/>
        </w:rPr>
        <w:t>Každý prijímateľ je oprávnený</w:t>
      </w:r>
      <w:r>
        <w:t xml:space="preserve"> pri dopytovo orientovanom projekte financovanom z Európskeho sociálneho fondu (t.j. všetky implementované projekty) </w:t>
      </w:r>
      <w:r w:rsidRPr="00D50FD2">
        <w:rPr>
          <w:b/>
        </w:rPr>
        <w:t>využívať aj systém zálohových platieb</w:t>
      </w:r>
      <w:r>
        <w:t>, a to v závislosti na svojich preferenciách</w:t>
      </w:r>
      <w:r w:rsidRPr="00675ADE">
        <w:t>.</w:t>
      </w:r>
    </w:p>
    <w:p w14:paraId="7C8AF1DA" w14:textId="77777777" w:rsidR="00F77089" w:rsidRDefault="00F77089" w:rsidP="00F77089">
      <w:pPr>
        <w:jc w:val="both"/>
      </w:pPr>
    </w:p>
    <w:p w14:paraId="796D20DE" w14:textId="77777777" w:rsidR="00F77089" w:rsidRPr="00FD7F11" w:rsidRDefault="00F77089" w:rsidP="00F77089">
      <w:pPr>
        <w:jc w:val="both"/>
        <w:rPr>
          <w:b/>
        </w:rPr>
      </w:pPr>
      <w:r w:rsidRPr="00FD7F11">
        <w:rPr>
          <w:b/>
        </w:rPr>
        <w:t>Poznámka:</w:t>
      </w:r>
    </w:p>
    <w:p w14:paraId="6A92DB68" w14:textId="77777777" w:rsidR="00F77089" w:rsidRPr="00D50FD2" w:rsidRDefault="00F77089" w:rsidP="00F77089">
      <w:pPr>
        <w:jc w:val="both"/>
        <w:rPr>
          <w:b/>
        </w:rPr>
      </w:pPr>
      <w:r>
        <w:t xml:space="preserve">Všetky vyhlásené výzvy na predkladanie žiadostí o NPF umožňovali uplatnenie systému zálohových platieb, systému refundácie a kombinácie systému zálohových platieb a systému refundácie, a teda </w:t>
      </w:r>
      <w:r w:rsidRPr="00D50FD2">
        <w:rPr>
          <w:b/>
        </w:rPr>
        <w:t>každý prijímateľ je oprávnený</w:t>
      </w:r>
      <w:r>
        <w:rPr>
          <w:b/>
        </w:rPr>
        <w:t xml:space="preserve"> </w:t>
      </w:r>
      <w:r w:rsidRPr="00D50FD2">
        <w:rPr>
          <w:b/>
        </w:rPr>
        <w:t xml:space="preserve">využívať </w:t>
      </w:r>
      <w:r>
        <w:rPr>
          <w:b/>
        </w:rPr>
        <w:t xml:space="preserve">aj </w:t>
      </w:r>
      <w:r w:rsidRPr="00D50FD2">
        <w:rPr>
          <w:b/>
        </w:rPr>
        <w:t>všetky uvedené systémy financovania a ich kombinácie.</w:t>
      </w:r>
    </w:p>
    <w:p w14:paraId="1EF8213D" w14:textId="068C8381" w:rsidR="00F77089" w:rsidRDefault="00F77089" w:rsidP="00F77089">
      <w:pPr>
        <w:jc w:val="both"/>
      </w:pPr>
      <w:r>
        <w:t xml:space="preserve">Ostatné podmienky financovania jednotlivými systémami, definovanými platným </w:t>
      </w:r>
      <w:r w:rsidRPr="00563CC6">
        <w:t xml:space="preserve">SFR </w:t>
      </w:r>
      <w:r>
        <w:t xml:space="preserve">(dostupný na: </w:t>
      </w:r>
      <w:hyperlink r:id="rId11" w:history="1">
        <w:r w:rsidRPr="00C25E0E">
          <w:rPr>
            <w:rStyle w:val="Hypertextovprepojenie"/>
          </w:rPr>
          <w:t>https://www.mfsr.sk/sk/financne-vztahy-eu/povstupove-fondy-eu/programove-obdobie-2014-2020/europske-strukturalne-investicne-fondy/materialy/</w:t>
        </w:r>
      </w:hyperlink>
      <w:r>
        <w:t>) nie sú uvedeným dotknut</w:t>
      </w:r>
      <w:r w:rsidR="003A42D6">
        <w:t>é.</w:t>
      </w:r>
    </w:p>
    <w:p w14:paraId="301FEFB0" w14:textId="77777777" w:rsidR="00F77089" w:rsidRPr="00242688" w:rsidRDefault="00F77089" w:rsidP="00F77089">
      <w:pPr>
        <w:jc w:val="both"/>
      </w:pPr>
    </w:p>
    <w:p w14:paraId="543AF433" w14:textId="77777777" w:rsidR="00F77089" w:rsidRDefault="00F77089" w:rsidP="00F77089">
      <w:pPr>
        <w:jc w:val="both"/>
        <w:rPr>
          <w:b/>
        </w:rPr>
      </w:pPr>
      <w:r w:rsidRPr="0082220C">
        <w:rPr>
          <w:b/>
        </w:rPr>
        <w:t>Postup prijímateľa:</w:t>
      </w:r>
    </w:p>
    <w:p w14:paraId="74B72A61" w14:textId="77777777" w:rsidR="00F77089" w:rsidRDefault="00F77089" w:rsidP="00F77089">
      <w:pPr>
        <w:pStyle w:val="Odsekzoznamu"/>
        <w:numPr>
          <w:ilvl w:val="0"/>
          <w:numId w:val="15"/>
        </w:numPr>
        <w:jc w:val="both"/>
      </w:pPr>
      <w:r>
        <w:t xml:space="preserve">Prijímateľ predloží PM </w:t>
      </w:r>
      <w:r w:rsidRPr="00742FC6">
        <w:rPr>
          <w:rFonts w:ascii="Calibri" w:eastAsia="Times New Roman" w:hAnsi="Calibri" w:cs="Times New Roman"/>
          <w:b/>
          <w:i/>
        </w:rPr>
        <w:t xml:space="preserve">Žiadosť o povolenie vykonania zmeny v zmluve o poskytnutí nenávratného finančného príspevku (významnejšia zmena projektu) </w:t>
      </w:r>
      <w:r>
        <w:t>v zmysle platnej Príručky pre prijímateľa (= Príloha č. 2), ktorú vyplní rovnako ako v prípade iných žiadostí o povolenie zmeny.</w:t>
      </w:r>
    </w:p>
    <w:p w14:paraId="31E1D3FC" w14:textId="77777777" w:rsidR="00F77089" w:rsidRDefault="00F77089" w:rsidP="00F77089">
      <w:pPr>
        <w:pStyle w:val="Odsekzoznamu"/>
        <w:numPr>
          <w:ilvl w:val="0"/>
          <w:numId w:val="15"/>
        </w:numPr>
        <w:jc w:val="both"/>
      </w:pPr>
      <w:r>
        <w:t>Prijímateľ uvedie v časti 4. Zdôvodnenie žiadosti o zmenu informáciu, že „</w:t>
      </w:r>
      <w:r w:rsidRPr="00742FC6">
        <w:rPr>
          <w:i/>
        </w:rPr>
        <w:t>žiada o rozšírenie systémov financovania o systém zálohových platieb v zmysle iniciatívnej výnimky MF SR zo SFR</w:t>
      </w:r>
      <w:r>
        <w:rPr>
          <w:i/>
        </w:rPr>
        <w:t>, resp. SFR</w:t>
      </w:r>
      <w:r>
        <w:t>“.</w:t>
      </w:r>
    </w:p>
    <w:p w14:paraId="3F8E310E" w14:textId="77777777" w:rsidR="00F77089" w:rsidRDefault="00F77089" w:rsidP="00F77089">
      <w:pPr>
        <w:pStyle w:val="Odsekzoznamu"/>
        <w:jc w:val="both"/>
      </w:pPr>
      <w:r>
        <w:t>Ak má prijímateľ záujem o doplnenie ďalšieho zo systémov financovania, tento rovnako doplní v časti 4. Zdôvodnenie žiadosti o zmenu.</w:t>
      </w:r>
    </w:p>
    <w:p w14:paraId="4CFCBD01" w14:textId="77777777" w:rsidR="00F77089" w:rsidRDefault="00F77089" w:rsidP="00053901">
      <w:pPr>
        <w:jc w:val="both"/>
      </w:pPr>
    </w:p>
    <w:p w14:paraId="6F5D2A10" w14:textId="77777777" w:rsidR="00F77089" w:rsidRPr="003A42D6" w:rsidRDefault="00F77089" w:rsidP="00F77089">
      <w:pPr>
        <w:pStyle w:val="Odsekzoznamu"/>
        <w:numPr>
          <w:ilvl w:val="0"/>
          <w:numId w:val="12"/>
        </w:numPr>
        <w:jc w:val="both"/>
        <w:rPr>
          <w:b/>
          <w:u w:val="single"/>
        </w:rPr>
      </w:pPr>
      <w:r w:rsidRPr="003A42D6">
        <w:rPr>
          <w:b/>
          <w:u w:val="single"/>
        </w:rPr>
        <w:t>Zmena pravidiel výpočtu maximálnej výšky zálohovej platby</w:t>
      </w:r>
    </w:p>
    <w:p w14:paraId="642390A3" w14:textId="77777777" w:rsidR="00F77089" w:rsidRPr="00E8160D" w:rsidRDefault="00F77089" w:rsidP="00F77089">
      <w:pPr>
        <w:jc w:val="both"/>
      </w:pPr>
      <w:r w:rsidRPr="00E8160D">
        <w:rPr>
          <w:b/>
          <w:i/>
        </w:rPr>
        <w:t>Platí pre: prijímatelia s výnimkou štátnych rozpočtových organizácií a štátne rozpočtové organizácie.</w:t>
      </w:r>
    </w:p>
    <w:p w14:paraId="43709B8D" w14:textId="77777777" w:rsidR="00F77089" w:rsidRPr="00242688" w:rsidRDefault="00F77089" w:rsidP="00F77089">
      <w:pPr>
        <w:jc w:val="both"/>
        <w:rPr>
          <w:b/>
        </w:rPr>
      </w:pPr>
      <w:r>
        <w:t>Pravidlá výpočtu maximálnej výšky zálohovej platby sa upravujú nasledovne: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2626"/>
        <w:gridCol w:w="6444"/>
      </w:tblGrid>
      <w:tr w:rsidR="00F77089" w:rsidRPr="00480CAF" w14:paraId="2D01C35A" w14:textId="77777777" w:rsidTr="00B771A4">
        <w:tc>
          <w:tcPr>
            <w:tcW w:w="2943" w:type="dxa"/>
            <w:shd w:val="clear" w:color="auto" w:fill="FDE9D9" w:themeFill="accent6" w:themeFillTint="33"/>
          </w:tcPr>
          <w:p w14:paraId="520C3DFF" w14:textId="77777777" w:rsidR="00F77089" w:rsidRPr="00480CAF" w:rsidRDefault="00F77089" w:rsidP="00B771A4">
            <w:pPr>
              <w:rPr>
                <w:b/>
              </w:rPr>
            </w:pPr>
            <w:r>
              <w:rPr>
                <w:b/>
              </w:rPr>
              <w:t>maximálna výška</w:t>
            </w:r>
          </w:p>
          <w:p w14:paraId="3AB34E4E" w14:textId="77777777" w:rsidR="00F77089" w:rsidRPr="00480CAF" w:rsidRDefault="00F77089" w:rsidP="00B771A4">
            <w:pPr>
              <w:rPr>
                <w:b/>
              </w:rPr>
            </w:pPr>
            <w:r w:rsidRPr="00480CAF">
              <w:rPr>
                <w:b/>
              </w:rPr>
              <w:t>poskytnutej zálohovej platby</w:t>
            </w:r>
          </w:p>
        </w:tc>
        <w:tc>
          <w:tcPr>
            <w:tcW w:w="7689" w:type="dxa"/>
            <w:shd w:val="clear" w:color="auto" w:fill="FDE9D9" w:themeFill="accent6" w:themeFillTint="33"/>
          </w:tcPr>
          <w:p w14:paraId="0BCFEB0B" w14:textId="77777777" w:rsidR="00F77089" w:rsidRPr="00480CAF" w:rsidRDefault="00F77089" w:rsidP="00B771A4">
            <w:pPr>
              <w:jc w:val="both"/>
              <w:rPr>
                <w:b/>
              </w:rPr>
            </w:pPr>
          </w:p>
          <w:p w14:paraId="4278BD44" w14:textId="77777777" w:rsidR="00F77089" w:rsidRPr="00480CAF" w:rsidRDefault="00F77089" w:rsidP="00B771A4">
            <w:pPr>
              <w:jc w:val="both"/>
              <w:rPr>
                <w:b/>
              </w:rPr>
            </w:pPr>
            <w:r w:rsidRPr="00480CAF">
              <w:rPr>
                <w:b/>
              </w:rPr>
              <w:t xml:space="preserve">= 0,4 * (suma NFP – </w:t>
            </w:r>
            <w:r>
              <w:rPr>
                <w:b/>
              </w:rPr>
              <w:t>poskytnutá časť NFP systémom refundácie (zdroj EÚ a ŠR))</w:t>
            </w:r>
          </w:p>
        </w:tc>
      </w:tr>
    </w:tbl>
    <w:p w14:paraId="37B031E2" w14:textId="001CA33D" w:rsidR="00F77089" w:rsidRPr="00A731E0" w:rsidRDefault="00F77089" w:rsidP="00F77089">
      <w:pPr>
        <w:jc w:val="both"/>
        <w:rPr>
          <w:sz w:val="20"/>
          <w:szCs w:val="20"/>
        </w:rPr>
      </w:pPr>
      <w:r w:rsidRPr="00A731E0">
        <w:rPr>
          <w:sz w:val="20"/>
          <w:szCs w:val="20"/>
        </w:rPr>
        <w:t>O vyčerpanú sumu NFP sa maximálna výška prvej poskytnutej zálohovej platby znižuje, ak pred jej poskytnutím bola žiadosť o platbu (priebežná platba) schválená Certifikačným orgánom v súhrnnej žiadosti o platbu/ mimoria</w:t>
      </w:r>
      <w:r w:rsidR="003A42D6">
        <w:rPr>
          <w:sz w:val="20"/>
          <w:szCs w:val="20"/>
        </w:rPr>
        <w:t>dnej súhrnne žiadosti o platbu.</w:t>
      </w:r>
    </w:p>
    <w:p w14:paraId="7D766AF0" w14:textId="77777777" w:rsidR="00F77089" w:rsidRPr="00242688" w:rsidRDefault="00F77089" w:rsidP="00F77089">
      <w:pPr>
        <w:jc w:val="both"/>
      </w:pPr>
    </w:p>
    <w:p w14:paraId="42F17019" w14:textId="77777777" w:rsidR="00F77089" w:rsidRPr="0066622C" w:rsidRDefault="00F77089" w:rsidP="00F77089">
      <w:pPr>
        <w:jc w:val="both"/>
        <w:rPr>
          <w:b/>
        </w:rPr>
      </w:pPr>
      <w:r w:rsidRPr="0066622C">
        <w:rPr>
          <w:b/>
        </w:rPr>
        <w:t>Poznámka:</w:t>
      </w:r>
    </w:p>
    <w:p w14:paraId="4366531D" w14:textId="77777777" w:rsidR="00F77089" w:rsidRDefault="00F77089" w:rsidP="00F77089">
      <w:pPr>
        <w:pStyle w:val="Odsekzoznamu"/>
        <w:numPr>
          <w:ilvl w:val="0"/>
          <w:numId w:val="13"/>
        </w:numPr>
        <w:ind w:hanging="436"/>
        <w:jc w:val="both"/>
      </w:pPr>
      <w:r>
        <w:t>Pri výpočte sa už nezohľadňuje počet mesiacov realizácie projektu.</w:t>
      </w:r>
    </w:p>
    <w:p w14:paraId="478F45D1" w14:textId="77777777" w:rsidR="00F77089" w:rsidRPr="00480CAF" w:rsidRDefault="00F77089" w:rsidP="00F77089">
      <w:pPr>
        <w:pStyle w:val="Odsekzoznamu"/>
        <w:numPr>
          <w:ilvl w:val="0"/>
          <w:numId w:val="13"/>
        </w:numPr>
        <w:ind w:hanging="436"/>
        <w:jc w:val="both"/>
      </w:pPr>
      <w:r w:rsidRPr="00480CAF">
        <w:t xml:space="preserve">Maximálnu výšku zálohovej platby je potrebné prepočítať v prípade, ak dôjde </w:t>
      </w:r>
      <w:r>
        <w:t>k zníženiu celkovej výšky NFP.</w:t>
      </w:r>
    </w:p>
    <w:p w14:paraId="5E764B4D" w14:textId="77777777" w:rsidR="00F77089" w:rsidRDefault="00F77089" w:rsidP="00F77089">
      <w:pPr>
        <w:pStyle w:val="Odsekzoznamu"/>
        <w:numPr>
          <w:ilvl w:val="0"/>
          <w:numId w:val="13"/>
        </w:numPr>
        <w:ind w:hanging="436"/>
        <w:jc w:val="both"/>
        <w:rPr>
          <w:rFonts w:ascii="Calibri" w:eastAsia="Times New Roman" w:hAnsi="Calibri" w:cs="Times New Roman"/>
          <w:color w:val="000000"/>
        </w:rPr>
      </w:pPr>
      <w:r>
        <w:rPr>
          <w:rFonts w:ascii="Calibri" w:eastAsia="Times New Roman" w:hAnsi="Calibri" w:cs="Times New Roman"/>
          <w:color w:val="000000"/>
        </w:rPr>
        <w:t>Prijímateľ môže požiadať o ďalšiu zálohovú platbu najskôr súčasne s podaním žiadosti o platbu (zúčtovanie zálohovej platby). IA MPSVR SR zabezpečí poskytnutie platby na základe žiadosti o platbu (poskytnutie zálohovej platby) až po schválení predloženej žiadosti o platbu (zúčtovanie zálohovej platby) Certifikačným orgánom, ak nie je dohodnuté inak.</w:t>
      </w:r>
    </w:p>
    <w:p w14:paraId="7B33A3C8" w14:textId="77777777" w:rsidR="00F77089" w:rsidRDefault="00F77089" w:rsidP="00F77089">
      <w:pPr>
        <w:pStyle w:val="Odsekzoznamu"/>
        <w:numPr>
          <w:ilvl w:val="0"/>
          <w:numId w:val="13"/>
        </w:numPr>
        <w:ind w:hanging="436"/>
        <w:jc w:val="both"/>
      </w:pPr>
      <w: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w:t>
      </w:r>
      <w:r>
        <w:lastRenderedPageBreak/>
        <w:t>poskytnutej zálohovej platby. Súčet týchto prostriedkov, a teda výška možnej zálohovej platby, je maximálne 40 % z celkového NFP zníženého o už poskytnutú časť NFP systémom refundácie.</w:t>
      </w:r>
    </w:p>
    <w:p w14:paraId="071F358F" w14:textId="77777777" w:rsidR="00F77089" w:rsidRPr="00053901" w:rsidRDefault="00F77089" w:rsidP="00F77089">
      <w:pPr>
        <w:jc w:val="both"/>
      </w:pPr>
    </w:p>
    <w:p w14:paraId="535652D7" w14:textId="77777777" w:rsidR="00F77089" w:rsidRDefault="00F77089" w:rsidP="00F77089">
      <w:pPr>
        <w:jc w:val="both"/>
        <w:rPr>
          <w:b/>
        </w:rPr>
      </w:pPr>
      <w:r w:rsidRPr="0082220C">
        <w:rPr>
          <w:b/>
        </w:rPr>
        <w:t>Postup prijímateľa:</w:t>
      </w:r>
    </w:p>
    <w:p w14:paraId="31B4DC2C" w14:textId="77777777" w:rsidR="00F77089" w:rsidRDefault="00F77089" w:rsidP="00F77089">
      <w:pPr>
        <w:jc w:val="both"/>
      </w:pPr>
      <w:r w:rsidRPr="00480CAF">
        <w:rPr>
          <w:b/>
        </w:rPr>
        <w:t xml:space="preserve">Poskytnutie NFP v rozsahu maximálnej výšky zálohovej platby viazané na </w:t>
      </w:r>
      <w:r>
        <w:rPr>
          <w:b/>
        </w:rPr>
        <w:t>iniciatívu, t.j. predloženie ŽoP zo strany prijímateľa</w:t>
      </w:r>
      <w:r w:rsidRPr="0066622C">
        <w:t xml:space="preserve">; </w:t>
      </w:r>
      <w:r w:rsidRPr="00765344">
        <w:t>aplikovateľné v nadväznosti na nadobudnutie účinnosti zmeny zmluvy o poskytnutí NFP.</w:t>
      </w:r>
    </w:p>
    <w:p w14:paraId="1DC39AD7" w14:textId="77777777" w:rsidR="002965C4" w:rsidRDefault="002965C4" w:rsidP="00A73FD4">
      <w:pPr>
        <w:jc w:val="both"/>
      </w:pPr>
    </w:p>
    <w:p w14:paraId="7417DAA8" w14:textId="64EF22D1" w:rsidR="002965C4" w:rsidRDefault="002965C4" w:rsidP="00A73FD4">
      <w:pPr>
        <w:jc w:val="both"/>
        <w:rPr>
          <w:b/>
          <w:color w:val="FF0000"/>
        </w:rPr>
      </w:pPr>
      <w:r w:rsidRPr="002965C4">
        <w:rPr>
          <w:b/>
          <w:color w:val="FF0000"/>
        </w:rPr>
        <w:t>Dôležité upozornenie:</w:t>
      </w:r>
    </w:p>
    <w:p w14:paraId="32D52CCB" w14:textId="738F4657" w:rsidR="00A3247B" w:rsidRDefault="002965C4" w:rsidP="00A73FD4">
      <w:pPr>
        <w:jc w:val="both"/>
        <w:rPr>
          <w:color w:val="FF0000"/>
        </w:rPr>
      </w:pPr>
      <w:r w:rsidRPr="00224934">
        <w:rPr>
          <w:b/>
          <w:color w:val="FF0000"/>
        </w:rPr>
        <w:t>Pri výpočte maximálnej výšky zálohovej platby</w:t>
      </w:r>
      <w:r w:rsidRPr="002965C4">
        <w:rPr>
          <w:color w:val="FF0000"/>
        </w:rPr>
        <w:t xml:space="preserve"> sa nezohľadňujú už vyčerpané prostriedky</w:t>
      </w:r>
      <w:r w:rsidR="00A3247B">
        <w:rPr>
          <w:color w:val="FF0000"/>
        </w:rPr>
        <w:t>, t. j</w:t>
      </w:r>
      <w:r w:rsidRPr="002965C4">
        <w:rPr>
          <w:color w:val="FF0000"/>
        </w:rPr>
        <w:t xml:space="preserve">. </w:t>
      </w:r>
      <w:r w:rsidR="00A3247B">
        <w:rPr>
          <w:b/>
          <w:color w:val="FF0000"/>
        </w:rPr>
        <w:t>p</w:t>
      </w:r>
      <w:r w:rsidRPr="00224934">
        <w:rPr>
          <w:b/>
          <w:color w:val="FF0000"/>
        </w:rPr>
        <w:t xml:space="preserve">ostupuje sa </w:t>
      </w:r>
      <w:r w:rsidRPr="00224934">
        <w:rPr>
          <w:b/>
          <w:color w:val="FF0000"/>
          <w:u w:val="single"/>
        </w:rPr>
        <w:t>podľa vzorca ako pre výpočet prvej zálohovej platby</w:t>
      </w:r>
      <w:r w:rsidR="00A3247B">
        <w:rPr>
          <w:b/>
          <w:color w:val="FF0000"/>
          <w:u w:val="single"/>
        </w:rPr>
        <w:t xml:space="preserve"> a nezohľadňujú sa už vyčerpané prostriedky po prvej zálohovej platbe</w:t>
      </w:r>
      <w:r w:rsidRPr="002965C4">
        <w:rPr>
          <w:color w:val="FF0000"/>
        </w:rPr>
        <w:t xml:space="preserve">, </w:t>
      </w:r>
      <w:r w:rsidR="00A3247B">
        <w:rPr>
          <w:color w:val="FF0000"/>
        </w:rPr>
        <w:t xml:space="preserve">a to aj v prípadoch, kde už bola poskytnutá prvá zálohová platba. Uvedený postup predstavuje </w:t>
      </w:r>
      <w:r w:rsidRPr="002965C4">
        <w:rPr>
          <w:color w:val="FF0000"/>
        </w:rPr>
        <w:t>zmenu metodického prístupu</w:t>
      </w:r>
      <w:r w:rsidR="00A3247B">
        <w:rPr>
          <w:color w:val="FF0000"/>
        </w:rPr>
        <w:t xml:space="preserve"> k výpočtu maximálnej výšky zálohovej platby</w:t>
      </w:r>
      <w:r w:rsidRPr="002965C4">
        <w:rPr>
          <w:color w:val="FF0000"/>
        </w:rPr>
        <w:t xml:space="preserve">, nie </w:t>
      </w:r>
      <w:r w:rsidR="00A3247B">
        <w:rPr>
          <w:color w:val="FF0000"/>
        </w:rPr>
        <w:t xml:space="preserve">zmenu </w:t>
      </w:r>
      <w:r w:rsidRPr="002965C4">
        <w:rPr>
          <w:color w:val="FF0000"/>
        </w:rPr>
        <w:t>vstupných parametrov na projekte. Základným dôvodom pre zmenu vo výpočte maximálnej výšky zálohovej platby je</w:t>
      </w:r>
      <w:r w:rsidR="00A3247B">
        <w:rPr>
          <w:color w:val="FF0000"/>
        </w:rPr>
        <w:t>:</w:t>
      </w:r>
    </w:p>
    <w:p w14:paraId="42F34302" w14:textId="5A99F7AC" w:rsidR="00A3247B" w:rsidRDefault="002965C4" w:rsidP="00224934">
      <w:pPr>
        <w:pStyle w:val="Odsekzoznamu"/>
        <w:numPr>
          <w:ilvl w:val="0"/>
          <w:numId w:val="28"/>
        </w:numPr>
        <w:jc w:val="both"/>
        <w:rPr>
          <w:color w:val="FF0000"/>
        </w:rPr>
      </w:pPr>
      <w:r w:rsidRPr="00224934">
        <w:rPr>
          <w:color w:val="FF0000"/>
        </w:rPr>
        <w:t>zvýšenie sumy finančných prostriedkov, ktorými môže prijímateľ disponovať</w:t>
      </w:r>
    </w:p>
    <w:p w14:paraId="0B067E34" w14:textId="546B8B4B" w:rsidR="00A3247B" w:rsidRDefault="00A3247B" w:rsidP="00224934">
      <w:pPr>
        <w:pStyle w:val="Odsekzoznamu"/>
        <w:numPr>
          <w:ilvl w:val="0"/>
          <w:numId w:val="28"/>
        </w:numPr>
        <w:jc w:val="both"/>
        <w:rPr>
          <w:color w:val="FF0000"/>
        </w:rPr>
      </w:pPr>
      <w:r>
        <w:rPr>
          <w:color w:val="FF0000"/>
        </w:rPr>
        <w:t>predĺženie lehoty na zúčtovanie zálohovej platby</w:t>
      </w:r>
    </w:p>
    <w:p w14:paraId="54C3F282" w14:textId="095E8AFB" w:rsidR="002965C4" w:rsidRPr="00224934" w:rsidRDefault="002965C4" w:rsidP="00224934">
      <w:pPr>
        <w:pStyle w:val="Odsekzoznamu"/>
        <w:numPr>
          <w:ilvl w:val="0"/>
          <w:numId w:val="28"/>
        </w:numPr>
        <w:jc w:val="both"/>
        <w:rPr>
          <w:color w:val="FF0000"/>
        </w:rPr>
      </w:pPr>
      <w:r w:rsidRPr="00224934">
        <w:rPr>
          <w:color w:val="FF0000"/>
        </w:rPr>
        <w:t>zníženie administratívnej záťaže prijímateľov.</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2630"/>
        <w:gridCol w:w="6440"/>
      </w:tblGrid>
      <w:tr w:rsidR="00A73FD4" w:rsidRPr="00480CAF" w14:paraId="02A12940" w14:textId="77777777" w:rsidTr="00A73FD4">
        <w:trPr>
          <w:trHeight w:val="869"/>
        </w:trPr>
        <w:tc>
          <w:tcPr>
            <w:tcW w:w="2943" w:type="dxa"/>
            <w:shd w:val="clear" w:color="auto" w:fill="FDE9D9" w:themeFill="accent6" w:themeFillTint="33"/>
          </w:tcPr>
          <w:p w14:paraId="461E222D" w14:textId="269064BD" w:rsidR="00A73FD4" w:rsidRPr="00480CAF" w:rsidRDefault="00A73FD4" w:rsidP="00A73FD4">
            <w:pPr>
              <w:rPr>
                <w:b/>
              </w:rPr>
            </w:pPr>
            <w:r w:rsidRPr="00A73FD4">
              <w:rPr>
                <w:b/>
              </w:rPr>
              <w:t>maximálna výška prvej poskytnutej zálohovej platby</w:t>
            </w:r>
          </w:p>
        </w:tc>
        <w:tc>
          <w:tcPr>
            <w:tcW w:w="7689" w:type="dxa"/>
            <w:shd w:val="clear" w:color="auto" w:fill="FDE9D9" w:themeFill="accent6" w:themeFillTint="33"/>
          </w:tcPr>
          <w:p w14:paraId="0D11E980" w14:textId="77777777" w:rsidR="00A73FD4" w:rsidRPr="00480CAF" w:rsidRDefault="00A73FD4" w:rsidP="00A73FD4">
            <w:pPr>
              <w:jc w:val="both"/>
              <w:rPr>
                <w:b/>
              </w:rPr>
            </w:pPr>
          </w:p>
          <w:p w14:paraId="03377C1D" w14:textId="60DACF71" w:rsidR="00A73FD4" w:rsidRPr="00480CAF" w:rsidRDefault="00A73FD4" w:rsidP="00AE3202">
            <w:pPr>
              <w:jc w:val="both"/>
              <w:rPr>
                <w:b/>
              </w:rPr>
            </w:pPr>
            <w:r w:rsidRPr="00480CAF">
              <w:rPr>
                <w:b/>
              </w:rPr>
              <w:t xml:space="preserve">= 0,4 * </w:t>
            </w:r>
            <w:r w:rsidRPr="00A73FD4">
              <w:rPr>
                <w:b/>
              </w:rPr>
              <w:t xml:space="preserve">(suma NFP – vyčerpaná suma </w:t>
            </w:r>
            <w:r>
              <w:rPr>
                <w:b/>
              </w:rPr>
              <w:t>NFP</w:t>
            </w:r>
            <w:r w:rsidR="00A3247B">
              <w:rPr>
                <w:b/>
              </w:rPr>
              <w:t xml:space="preserve"> v čase výpočtu prvej zálohovej platby</w:t>
            </w:r>
            <w:r w:rsidRPr="00A73FD4">
              <w:rPr>
                <w:b/>
              </w:rPr>
              <w:t xml:space="preserve"> (zdroj EÚ a</w:t>
            </w:r>
            <w:r w:rsidR="00A3247B">
              <w:rPr>
                <w:b/>
              </w:rPr>
              <w:t> </w:t>
            </w:r>
            <w:r w:rsidRPr="00A73FD4">
              <w:rPr>
                <w:b/>
              </w:rPr>
              <w:t>ŠR)</w:t>
            </w:r>
            <w:r w:rsidR="00AE3202">
              <w:rPr>
                <w:b/>
              </w:rPr>
              <w:t>*</w:t>
            </w:r>
            <w:r w:rsidRPr="00A73FD4">
              <w:rPr>
                <w:b/>
              </w:rPr>
              <w:t>)</w:t>
            </w:r>
          </w:p>
        </w:tc>
      </w:tr>
    </w:tbl>
    <w:p w14:paraId="0CD85DF9" w14:textId="0321E660" w:rsidR="00EE694E" w:rsidRPr="00A73FD4" w:rsidRDefault="00A3247B" w:rsidP="00A73FD4">
      <w:pPr>
        <w:jc w:val="both"/>
        <w:rPr>
          <w:color w:val="FF0000"/>
          <w:sz w:val="20"/>
          <w:szCs w:val="20"/>
        </w:rPr>
      </w:pPr>
      <w:r>
        <w:rPr>
          <w:color w:val="FF0000"/>
          <w:sz w:val="20"/>
          <w:szCs w:val="20"/>
        </w:rPr>
        <w:t>*</w:t>
      </w:r>
      <w:r w:rsidR="00A73FD4">
        <w:rPr>
          <w:color w:val="FF0000"/>
          <w:sz w:val="20"/>
          <w:szCs w:val="20"/>
        </w:rPr>
        <w:t>O</w:t>
      </w:r>
      <w:r w:rsidR="00EE694E" w:rsidRPr="00A73FD4">
        <w:rPr>
          <w:color w:val="FF0000"/>
          <w:sz w:val="20"/>
          <w:szCs w:val="20"/>
        </w:rPr>
        <w:t xml:space="preserve"> vyčerpanú sumu </w:t>
      </w:r>
      <w:r w:rsidR="00A73FD4">
        <w:rPr>
          <w:color w:val="FF0000"/>
          <w:sz w:val="20"/>
          <w:szCs w:val="20"/>
        </w:rPr>
        <w:t>NFP</w:t>
      </w:r>
      <w:r w:rsidR="00EE694E" w:rsidRPr="00A73FD4">
        <w:rPr>
          <w:color w:val="FF0000"/>
          <w:sz w:val="20"/>
          <w:szCs w:val="20"/>
        </w:rPr>
        <w:t xml:space="preserve"> sa maximálna výška prvej poskytnutej zálohovej platby znižuje, ak pred jej poskytnutím bola žiadosť o platbu (priebežná platba) schválená certifikačným orgánom v súhrnnej žiadosti o platbu/</w:t>
      </w:r>
      <w:r w:rsidR="00A73FD4">
        <w:rPr>
          <w:color w:val="FF0000"/>
          <w:sz w:val="20"/>
          <w:szCs w:val="20"/>
        </w:rPr>
        <w:t xml:space="preserve"> </w:t>
      </w:r>
      <w:r w:rsidR="00EE694E" w:rsidRPr="00A73FD4">
        <w:rPr>
          <w:color w:val="FF0000"/>
          <w:sz w:val="20"/>
          <w:szCs w:val="20"/>
        </w:rPr>
        <w:t>mimoriadnej súhrnnej žiadosti o platbu.</w:t>
      </w:r>
    </w:p>
    <w:p w14:paraId="7C3B41FC" w14:textId="77777777" w:rsidR="002965C4" w:rsidRPr="002965C4" w:rsidRDefault="002965C4" w:rsidP="00A73FD4">
      <w:pPr>
        <w:jc w:val="both"/>
        <w:rPr>
          <w:color w:val="FF0000"/>
        </w:rPr>
      </w:pPr>
    </w:p>
    <w:p w14:paraId="17F76C2B" w14:textId="685B0457" w:rsidR="00A3247B" w:rsidRPr="00AE3202" w:rsidRDefault="002965C4" w:rsidP="00224934">
      <w:pPr>
        <w:jc w:val="both"/>
        <w:rPr>
          <w:b/>
          <w:bCs/>
          <w:color w:val="FF0000"/>
          <w:lang w:eastAsia="sk-SK"/>
        </w:rPr>
      </w:pPr>
      <w:r w:rsidRPr="00224934">
        <w:rPr>
          <w:color w:val="FF0000"/>
        </w:rPr>
        <w:t xml:space="preserve">V prípade ak sa blíži koniec realizácie projektu, môže nastať situácia, že suma nevyčerpaných finančných prostriedkov bude nižšia ako maximálna výška zálohovej platby, a teda </w:t>
      </w:r>
      <w:r w:rsidRPr="00F7255F">
        <w:rPr>
          <w:color w:val="FF0000"/>
        </w:rPr>
        <w:t xml:space="preserve">zálohová platba nemôže byť poskytnutá v maximálnej výške, ale len do výšky </w:t>
      </w:r>
      <w:r w:rsidR="00A3247B" w:rsidRPr="00F7255F">
        <w:rPr>
          <w:color w:val="FF0000"/>
        </w:rPr>
        <w:t xml:space="preserve">nevyčerpaných, t.j. </w:t>
      </w:r>
      <w:r w:rsidRPr="00F7255F">
        <w:rPr>
          <w:color w:val="FF0000"/>
        </w:rPr>
        <w:t xml:space="preserve">voľných finančných prostriedkov. </w:t>
      </w:r>
      <w:r w:rsidR="00A3247B" w:rsidRPr="00AE3202">
        <w:rPr>
          <w:color w:val="FF0000"/>
          <w:lang w:eastAsia="sk-SK"/>
        </w:rPr>
        <w:t xml:space="preserve">Zároveň, ak na konci realizácie projektu sú predložené „neuhradené“ žiadosti o platbu, tak o sumu daných žiadostí o platbu sa zníži výška poskytovanej zálohovej platby. Takže </w:t>
      </w:r>
      <w:r w:rsidR="00A3247B" w:rsidRPr="00AE3202">
        <w:rPr>
          <w:b/>
          <w:bCs/>
          <w:color w:val="FF0000"/>
          <w:lang w:eastAsia="sk-SK"/>
        </w:rPr>
        <w:t xml:space="preserve">prijímateľ môže disponovať len s maximálnou výškou zálohovej platby do výšky nevyčerpaných, t.j. voľných finančných prostriedkov pri zohľadnení aj predložených žiadostí o platbu. </w:t>
      </w:r>
    </w:p>
    <w:p w14:paraId="06C276D8" w14:textId="2696CC66" w:rsidR="00A3247B" w:rsidRPr="00AE3202" w:rsidRDefault="00A3247B" w:rsidP="00224934">
      <w:pPr>
        <w:jc w:val="both"/>
        <w:rPr>
          <w:color w:val="FF0000"/>
          <w:lang w:eastAsia="sk-SK"/>
        </w:rPr>
      </w:pPr>
      <w:r w:rsidRPr="00AE3202">
        <w:rPr>
          <w:color w:val="FF0000"/>
          <w:lang w:eastAsia="sk-SK"/>
        </w:rPr>
        <w:t>V prípade, ak na konci realizácie projektu nastane situácia, že prijímateľ predloží žiadosť o priebežnú platbu (refundáciu) až po poskytnutí zálohovej platby, a teda prijímateľovi bude poskytnutá vyššia zálohová platba ako je celkové NFP</w:t>
      </w:r>
      <w:r w:rsidR="00224934" w:rsidRPr="00AE3202">
        <w:rPr>
          <w:color w:val="FF0000"/>
          <w:lang w:eastAsia="sk-SK"/>
        </w:rPr>
        <w:t>,</w:t>
      </w:r>
      <w:r w:rsidRPr="00AE3202">
        <w:rPr>
          <w:color w:val="FF0000"/>
          <w:lang w:eastAsia="sk-SK"/>
        </w:rPr>
        <w:t xml:space="preserve"> resp. ak prijímateľ nezúčtuje poskytnutú zálohovú platbu v stanovenom termíne, tak je potrebné </w:t>
      </w:r>
      <w:r w:rsidRPr="00AE3202">
        <w:rPr>
          <w:b/>
          <w:bCs/>
          <w:color w:val="FF0000"/>
          <w:lang w:eastAsia="sk-SK"/>
        </w:rPr>
        <w:t>vrátiť sumu nezúčtovaného rozdielu zálohovej platby</w:t>
      </w:r>
      <w:r w:rsidRPr="00AE3202">
        <w:rPr>
          <w:color w:val="FF0000"/>
          <w:lang w:eastAsia="sk-SK"/>
        </w:rPr>
        <w:t xml:space="preserve">. </w:t>
      </w:r>
    </w:p>
    <w:p w14:paraId="4FEFDB2A" w14:textId="77777777" w:rsidR="001010F5" w:rsidRPr="002965C4" w:rsidRDefault="001010F5" w:rsidP="00A73FD4">
      <w:pPr>
        <w:jc w:val="both"/>
        <w:rPr>
          <w:color w:val="FF0000"/>
        </w:rPr>
      </w:pPr>
    </w:p>
    <w:p w14:paraId="01A68F77" w14:textId="77777777" w:rsidR="00F77089" w:rsidRPr="003A42D6" w:rsidRDefault="00F77089" w:rsidP="00F77089">
      <w:pPr>
        <w:pStyle w:val="Odsekzoznamu"/>
        <w:numPr>
          <w:ilvl w:val="0"/>
          <w:numId w:val="12"/>
        </w:numPr>
        <w:jc w:val="both"/>
        <w:rPr>
          <w:b/>
          <w:u w:val="single"/>
        </w:rPr>
      </w:pPr>
      <w:r w:rsidRPr="003A42D6">
        <w:rPr>
          <w:b/>
          <w:u w:val="single"/>
        </w:rPr>
        <w:t>Poskytnutie ďalšej zálohovej platby</w:t>
      </w:r>
    </w:p>
    <w:p w14:paraId="6DDA702A" w14:textId="77777777" w:rsidR="00F77089" w:rsidRPr="00E8160D" w:rsidRDefault="00F77089" w:rsidP="00F77089">
      <w:pPr>
        <w:jc w:val="both"/>
        <w:rPr>
          <w:b/>
          <w:i/>
        </w:rPr>
      </w:pPr>
      <w:r w:rsidRPr="00E8160D">
        <w:rPr>
          <w:b/>
          <w:i/>
        </w:rPr>
        <w:t>Platí pre: prijímatelia s výnimkou štátnych rozpočtových organizácií a štátne rozpočtové organizácie.</w:t>
      </w:r>
    </w:p>
    <w:p w14:paraId="700DF457" w14:textId="77777777" w:rsidR="00F77089" w:rsidRPr="00DF62A4" w:rsidRDefault="00F77089" w:rsidP="00F77089">
      <w:pPr>
        <w:jc w:val="both"/>
        <w:rPr>
          <w:rFonts w:cstheme="minorHAnsi"/>
          <w:shd w:val="clear" w:color="auto" w:fill="FFFFFF"/>
        </w:rPr>
      </w:pPr>
      <w:r>
        <w:t xml:space="preserve">IA MPSVR </w:t>
      </w:r>
      <w:r w:rsidRPr="003E4BD7">
        <w:rPr>
          <w:u w:val="single"/>
        </w:rPr>
        <w:t>môže poskytnúť</w:t>
      </w:r>
      <w:r w:rsidRPr="00CA45C6">
        <w:t xml:space="preserve"> ďalšiu zálohovú platbu aj b</w:t>
      </w:r>
      <w:r>
        <w:t>ez predchádzajúceho schválenia ž</w:t>
      </w:r>
      <w:r w:rsidRPr="00CA45C6">
        <w:t>iadosti o platbu (zúčtovanie záloho</w:t>
      </w:r>
      <w:r>
        <w:t xml:space="preserve">vej platby) v súlade s Výnimkou. </w:t>
      </w:r>
      <w:r w:rsidRPr="00CA45C6">
        <w:t>Postup podľa predchádzajúcej vety je časovo obmedzený na platnosť uvedenej Výnimky, t.j. do 31.12.2020.</w:t>
      </w:r>
    </w:p>
    <w:p w14:paraId="6263A75D" w14:textId="77777777" w:rsidR="00F77089" w:rsidRPr="000D0E56" w:rsidRDefault="00F77089" w:rsidP="00F77089">
      <w:pPr>
        <w:jc w:val="both"/>
      </w:pPr>
    </w:p>
    <w:p w14:paraId="24187B12" w14:textId="225B40CD" w:rsidR="00F77089" w:rsidRDefault="00053901" w:rsidP="00F77089">
      <w:pPr>
        <w:jc w:val="both"/>
        <w:rPr>
          <w:b/>
        </w:rPr>
      </w:pPr>
      <w:r>
        <w:rPr>
          <w:b/>
        </w:rPr>
        <w:t>Poznámka:</w:t>
      </w:r>
    </w:p>
    <w:p w14:paraId="5A3624AC" w14:textId="77777777" w:rsidR="00F77089" w:rsidRDefault="00F77089" w:rsidP="00F77089">
      <w:pPr>
        <w:jc w:val="both"/>
      </w:pPr>
      <w:r>
        <w:t xml:space="preserve">IA MPSVR SR aplikuje uvedený postup </w:t>
      </w:r>
      <w:r w:rsidRPr="00A731E0">
        <w:rPr>
          <w:b/>
        </w:rPr>
        <w:t>výlučne v prípade, ak z administratívnych dôvodov nie je možné pristúpiť k spracovávaniu žiadosti o platbu</w:t>
      </w:r>
      <w:r>
        <w:t>.</w:t>
      </w:r>
    </w:p>
    <w:p w14:paraId="6A29D118" w14:textId="77777777" w:rsidR="00F77089" w:rsidRPr="00053901" w:rsidRDefault="00F77089" w:rsidP="00F77089">
      <w:pPr>
        <w:jc w:val="both"/>
      </w:pPr>
    </w:p>
    <w:p w14:paraId="61477429" w14:textId="77777777" w:rsidR="00F77089" w:rsidRDefault="00F77089" w:rsidP="00F77089">
      <w:pPr>
        <w:jc w:val="both"/>
        <w:rPr>
          <w:b/>
        </w:rPr>
      </w:pPr>
      <w:r>
        <w:rPr>
          <w:b/>
        </w:rPr>
        <w:t>Postup prijímateľa:</w:t>
      </w:r>
    </w:p>
    <w:p w14:paraId="0D403F0F" w14:textId="77777777" w:rsidR="00F77089" w:rsidRDefault="00F77089" w:rsidP="00F77089">
      <w:pPr>
        <w:jc w:val="both"/>
      </w:pPr>
      <w:r w:rsidRPr="00480CAF">
        <w:rPr>
          <w:b/>
        </w:rPr>
        <w:t xml:space="preserve">Poskytnutie </w:t>
      </w:r>
      <w:r>
        <w:rPr>
          <w:b/>
        </w:rPr>
        <w:t>ďalšej z</w:t>
      </w:r>
      <w:r w:rsidRPr="00480CAF">
        <w:rPr>
          <w:b/>
        </w:rPr>
        <w:t>álohovej platby</w:t>
      </w:r>
      <w:r>
        <w:rPr>
          <w:b/>
        </w:rPr>
        <w:t xml:space="preserve"> je</w:t>
      </w:r>
      <w:r w:rsidRPr="00480CAF">
        <w:rPr>
          <w:b/>
        </w:rPr>
        <w:t xml:space="preserve"> viazané na </w:t>
      </w:r>
      <w:r>
        <w:rPr>
          <w:b/>
        </w:rPr>
        <w:t>iniciatívu, t.j. predloženie žiadosti o poskytnutie zálohovej platby zo strany prijímateľa</w:t>
      </w:r>
      <w:r w:rsidRPr="0066622C">
        <w:t xml:space="preserve">; </w:t>
      </w:r>
      <w:r w:rsidRPr="00765344">
        <w:t>aplikovateľné v nadväznosti na nadobudnutie účinnosti zmeny zmluvy o poskytnutí NFP.</w:t>
      </w:r>
    </w:p>
    <w:p w14:paraId="21D1C13B" w14:textId="77777777" w:rsidR="00053901" w:rsidRPr="00053901" w:rsidRDefault="00053901" w:rsidP="00053901">
      <w:pPr>
        <w:jc w:val="both"/>
        <w:rPr>
          <w:rFonts w:cstheme="minorHAnsi"/>
          <w:shd w:val="clear" w:color="auto" w:fill="FFFFFF"/>
        </w:rPr>
      </w:pPr>
    </w:p>
    <w:p w14:paraId="0B2A218C" w14:textId="77777777" w:rsidR="006E1D86" w:rsidRPr="000D0E56" w:rsidRDefault="006E1D86" w:rsidP="000D0E56">
      <w:pPr>
        <w:jc w:val="both"/>
        <w:rPr>
          <w:rFonts w:cstheme="minorHAnsi"/>
          <w:shd w:val="clear" w:color="auto" w:fill="FFFFFF"/>
        </w:rPr>
      </w:pPr>
    </w:p>
    <w:p w14:paraId="6A559CA6" w14:textId="77777777" w:rsidR="006E1D86" w:rsidRPr="000D0E56" w:rsidRDefault="006E1D86" w:rsidP="000D0E56">
      <w:pPr>
        <w:jc w:val="both"/>
        <w:rPr>
          <w:rFonts w:cstheme="minorHAnsi"/>
          <w:shd w:val="clear" w:color="auto" w:fill="FFFFFF"/>
        </w:rPr>
      </w:pPr>
    </w:p>
    <w:p w14:paraId="66EE9FD5" w14:textId="77777777" w:rsidR="00F77089" w:rsidRPr="003A42D6" w:rsidRDefault="00F77089" w:rsidP="00F77089">
      <w:pPr>
        <w:pStyle w:val="Odsekzoznamu"/>
        <w:numPr>
          <w:ilvl w:val="0"/>
          <w:numId w:val="12"/>
        </w:numPr>
        <w:jc w:val="both"/>
        <w:rPr>
          <w:rFonts w:cstheme="minorHAnsi"/>
          <w:b/>
          <w:u w:val="single"/>
          <w:shd w:val="clear" w:color="auto" w:fill="FFFFFF"/>
        </w:rPr>
      </w:pPr>
      <w:r w:rsidRPr="003A42D6">
        <w:rPr>
          <w:b/>
          <w:u w:val="single"/>
        </w:rPr>
        <w:lastRenderedPageBreak/>
        <w:t>Predĺženie lehoty na zúčtovanie poskytnutej zálohovej platby</w:t>
      </w:r>
    </w:p>
    <w:p w14:paraId="6B76A7FC" w14:textId="000CA5C7" w:rsidR="00F77089" w:rsidRPr="00B72ACC" w:rsidRDefault="00F77089" w:rsidP="00F77089">
      <w:pPr>
        <w:jc w:val="both"/>
      </w:pPr>
      <w:r w:rsidRPr="00B72ACC">
        <w:t xml:space="preserve">Prijímateľ je povinný </w:t>
      </w:r>
      <w:r w:rsidRPr="00B72ACC">
        <w:rPr>
          <w:b/>
        </w:rPr>
        <w:t>každú jednu poskytnutú zálohovú platbu priebežne zúčtovávať</w:t>
      </w:r>
      <w:r w:rsidRPr="00B72ACC">
        <w:t xml:space="preserve">, pričom </w:t>
      </w:r>
      <w:r w:rsidRPr="00B72ACC">
        <w:rPr>
          <w:b/>
        </w:rPr>
        <w:t>najneskôr do 12 mesiacov odo dňa pripísania platby</w:t>
      </w:r>
      <w:r w:rsidRPr="00B72ACC">
        <w:t xml:space="preserve"> </w:t>
      </w:r>
      <w:r>
        <w:t xml:space="preserve">na účte prijímateľa </w:t>
      </w:r>
      <w:r w:rsidRPr="00B72ACC">
        <w:t xml:space="preserve">(odo dňa aktivácie evidenčného listu úprav rozpočtu potvrdzujúcu úpravu rozpočtu prijímateľa – platí pre štátne rozpočtové organizácie) je </w:t>
      </w:r>
      <w:r w:rsidRPr="00B72ACC">
        <w:rPr>
          <w:b/>
        </w:rPr>
        <w:t>povinný zúčtovať 100 % sumy každej jednej poskytnutej zálohovej platby</w:t>
      </w:r>
      <w:r w:rsidRPr="00B72ACC">
        <w:t>. Uvedená lehota sa vzťahuje aj na</w:t>
      </w:r>
      <w:r w:rsidR="003A42D6">
        <w:t xml:space="preserve"> už poskytnuté zálohové platby.</w:t>
      </w:r>
    </w:p>
    <w:p w14:paraId="4217672E" w14:textId="77777777" w:rsidR="00F77089" w:rsidRPr="00B72ACC" w:rsidRDefault="00F77089" w:rsidP="00F77089">
      <w:pPr>
        <w:jc w:val="both"/>
      </w:pPr>
    </w:p>
    <w:p w14:paraId="16DE3AA3" w14:textId="77777777" w:rsidR="00F77089" w:rsidRPr="00D5572F" w:rsidRDefault="00F77089" w:rsidP="00F77089">
      <w:pPr>
        <w:jc w:val="both"/>
        <w:rPr>
          <w:b/>
        </w:rPr>
      </w:pPr>
      <w:r w:rsidRPr="00D5572F">
        <w:rPr>
          <w:b/>
        </w:rPr>
        <w:t>Poznámka:</w:t>
      </w:r>
    </w:p>
    <w:p w14:paraId="667C3A68" w14:textId="77777777" w:rsidR="00F77089" w:rsidRDefault="00F77089" w:rsidP="00F77089">
      <w:pPr>
        <w:pStyle w:val="Odsekzoznamu"/>
        <w:numPr>
          <w:ilvl w:val="0"/>
          <w:numId w:val="13"/>
        </w:numPr>
        <w:ind w:hanging="436"/>
        <w:jc w:val="both"/>
        <w:rPr>
          <w:b/>
        </w:rPr>
      </w:pPr>
      <w:r w:rsidRPr="00002AD3">
        <w:rPr>
          <w:rFonts w:cstheme="minorHAnsi"/>
        </w:rPr>
        <w:t>Žiadosť o platbu (zúčtovanie zálohovej platby) je potrebné priradiť k najstaršej poskytnutej nezúčtovanej zálohovej platbe.</w:t>
      </w:r>
    </w:p>
    <w:p w14:paraId="46D994A7" w14:textId="77777777" w:rsidR="00F77089" w:rsidRDefault="00F77089" w:rsidP="00F77089">
      <w:pPr>
        <w:pStyle w:val="Odsekzoznamu"/>
        <w:numPr>
          <w:ilvl w:val="0"/>
          <w:numId w:val="13"/>
        </w:numPr>
        <w:ind w:hanging="436"/>
        <w:jc w:val="both"/>
      </w:pPr>
      <w:r>
        <w:t>Ak IA MPSVR SR identifikuje v predloženej žiadosti o platbu (zúčtovanie zálohovej platbe) neoprávnené výdavky pred uplynutím 12-mesačnej lehoty na zúčtovanie, prijímateľ môže do skončenia 12-mesačnej lehoty takto identifikovanú nezúčtovanú sumu zúčtovať predložením ďalšej ŽoP (zúčtovanie zálohovej platby) s výdavkami minimálne vo výške identifikovaných neoprávnených výdavkov.</w:t>
      </w:r>
    </w:p>
    <w:p w14:paraId="2428A196" w14:textId="77777777" w:rsidR="00F77089" w:rsidRPr="00480CAF" w:rsidRDefault="00F77089" w:rsidP="00F77089">
      <w:pPr>
        <w:pStyle w:val="Odsekzoznamu"/>
        <w:numPr>
          <w:ilvl w:val="0"/>
          <w:numId w:val="13"/>
        </w:numPr>
        <w:ind w:hanging="436"/>
        <w:jc w:val="both"/>
        <w:rPr>
          <w:b/>
        </w:rPr>
      </w:pPr>
      <w:r w:rsidRPr="00420432">
        <w:rPr>
          <w:rFonts w:cstheme="minorHAnsi"/>
        </w:rPr>
        <w:t xml:space="preserve">Ak Prijímateľ nezúčtuje 100 % poskytnutej zálohovej platby do 12 mesiacov </w:t>
      </w:r>
      <w:r>
        <w:rPr>
          <w:rFonts w:cstheme="minorHAnsi"/>
        </w:rPr>
        <w:t>odo dňa pripísania platby na úče</w:t>
      </w:r>
      <w:r w:rsidRPr="00420432">
        <w:rPr>
          <w:rFonts w:cstheme="minorHAnsi"/>
        </w:rPr>
        <w:t>t Prijímateľa</w:t>
      </w:r>
      <w:r>
        <w:rPr>
          <w:rFonts w:cstheme="minorHAnsi"/>
        </w:rPr>
        <w:t xml:space="preserve"> </w:t>
      </w:r>
      <w:r w:rsidRPr="00B72ACC">
        <w:t>(odo dňa aktivácie evidenčného listu úprav rozpočtu potvrdzujúcu úpravu rozpočtu prijímateľa – platí pre štátne rozpočtové organizácie)</w:t>
      </w:r>
      <w:r w:rsidRPr="00420432">
        <w:rPr>
          <w:rFonts w:cstheme="minorHAnsi"/>
        </w:rPr>
        <w:t xml:space="preserve">, a to ani využitím možnosti podľa predchádzajúceho </w:t>
      </w:r>
      <w:r>
        <w:rPr>
          <w:rFonts w:cstheme="minorHAnsi"/>
        </w:rPr>
        <w:t>v zmysle VZP, p</w:t>
      </w:r>
      <w:r w:rsidRPr="00420432">
        <w:rPr>
          <w:rFonts w:cstheme="minorHAnsi"/>
        </w:rPr>
        <w:t>rijímateľ je povinný najneskôr do 5 dní po uplynutí 12-mesačnej lehoty vrátiť sumu nezúčtovaného</w:t>
      </w:r>
      <w:r w:rsidRPr="00002AD3">
        <w:rPr>
          <w:rFonts w:cstheme="minorHAnsi"/>
        </w:rPr>
        <w:t xml:space="preserve"> rozdielu na účet určený </w:t>
      </w:r>
      <w:r>
        <w:rPr>
          <w:rFonts w:cstheme="minorHAnsi"/>
        </w:rPr>
        <w:t>IA MPSVR SR</w:t>
      </w:r>
      <w:r w:rsidRPr="00002AD3">
        <w:rPr>
          <w:rFonts w:cstheme="minorHAnsi"/>
        </w:rPr>
        <w:t>.</w:t>
      </w:r>
    </w:p>
    <w:p w14:paraId="45CBC5F1" w14:textId="77777777" w:rsidR="00F77089" w:rsidRDefault="00F77089" w:rsidP="00F77089">
      <w:pPr>
        <w:pStyle w:val="Odsekzoznamu"/>
        <w:numPr>
          <w:ilvl w:val="0"/>
          <w:numId w:val="13"/>
        </w:numPr>
        <w:ind w:hanging="436"/>
        <w:jc w:val="both"/>
      </w:pPr>
      <w:r w:rsidRPr="00CA45C6">
        <w:t xml:space="preserve">Ak </w:t>
      </w:r>
      <w:r>
        <w:t>IA MPSVR SR</w:t>
      </w:r>
      <w:r w:rsidRPr="00CA45C6">
        <w:t xml:space="preserve"> v predloženej </w:t>
      </w:r>
      <w:r>
        <w:t>ŽoP</w:t>
      </w:r>
      <w:r w:rsidRPr="00CA45C6">
        <w:t xml:space="preserve"> (zúčtovanie z</w:t>
      </w:r>
      <w:r>
        <w:t>álohovej platby) identifikoval n</w:t>
      </w:r>
      <w:r w:rsidRPr="00CA45C6">
        <w:t>eoprávnené výdavky až po uplynutí 12-mesačnej lehoty</w:t>
      </w:r>
      <w:r w:rsidRPr="00D82CB5">
        <w:t xml:space="preserve"> na zúčtovanie, </w:t>
      </w:r>
      <w:r>
        <w:t>p</w:t>
      </w:r>
      <w:r w:rsidRPr="00D82CB5">
        <w:t xml:space="preserve">rijímateľ je povinný vrátiť sumu nezúčtovaného rozdielu poskytnutej zálohovej platby </w:t>
      </w:r>
      <w:r>
        <w:t>v súlade s článkom 10 VZP.</w:t>
      </w:r>
    </w:p>
    <w:p w14:paraId="35758F36" w14:textId="77777777" w:rsidR="00F77089" w:rsidRPr="006E1D86" w:rsidRDefault="00F77089" w:rsidP="00F77089">
      <w:pPr>
        <w:jc w:val="both"/>
      </w:pPr>
    </w:p>
    <w:p w14:paraId="7A03CA3A" w14:textId="77777777" w:rsidR="00F77089" w:rsidRPr="0082220C" w:rsidRDefault="00F77089" w:rsidP="00F77089">
      <w:pPr>
        <w:jc w:val="both"/>
        <w:rPr>
          <w:b/>
        </w:rPr>
      </w:pPr>
      <w:r w:rsidRPr="0082220C">
        <w:rPr>
          <w:b/>
        </w:rPr>
        <w:t>Postup prijímateľa:</w:t>
      </w:r>
    </w:p>
    <w:p w14:paraId="7E721B70" w14:textId="77777777" w:rsidR="00F77089" w:rsidRDefault="00F77089" w:rsidP="00F77089">
      <w:pPr>
        <w:jc w:val="both"/>
      </w:pPr>
      <w:r>
        <w:t>Bez potreby iniciatívy zo strany prijímateľa; aplikovateľné v nadväznosti na nadobudnutie účinnosti zmeny zmluvy o poskytnutí NFP.</w:t>
      </w:r>
    </w:p>
    <w:p w14:paraId="7A938800" w14:textId="77777777" w:rsidR="00F77089" w:rsidRPr="006E1D86" w:rsidRDefault="00F77089" w:rsidP="00F77089">
      <w:pPr>
        <w:jc w:val="both"/>
      </w:pPr>
    </w:p>
    <w:p w14:paraId="13CF02BA" w14:textId="77777777" w:rsidR="00F77089" w:rsidRPr="003A42D6" w:rsidRDefault="00F77089" w:rsidP="00F77089">
      <w:pPr>
        <w:pStyle w:val="Odsekzoznamu"/>
        <w:numPr>
          <w:ilvl w:val="0"/>
          <w:numId w:val="12"/>
        </w:numPr>
        <w:jc w:val="both"/>
        <w:rPr>
          <w:b/>
          <w:u w:val="single"/>
        </w:rPr>
      </w:pPr>
      <w:r w:rsidRPr="003A42D6">
        <w:rPr>
          <w:b/>
          <w:u w:val="single"/>
        </w:rPr>
        <w:t>Sprecizovanie postupov po vykonaní kontroly žiadosti o platbu (poskytnutie zálohovej platby) a žiadosti o platbu (zúčtovanie zálohovej platby)</w:t>
      </w:r>
    </w:p>
    <w:p w14:paraId="07A844CF" w14:textId="77777777" w:rsidR="00F77089" w:rsidRPr="00E8160D" w:rsidRDefault="00F77089" w:rsidP="00F77089">
      <w:pPr>
        <w:jc w:val="both"/>
        <w:rPr>
          <w:b/>
          <w:i/>
        </w:rPr>
      </w:pPr>
      <w:r w:rsidRPr="00E8160D">
        <w:rPr>
          <w:b/>
          <w:i/>
        </w:rPr>
        <w:t>Platí pre: prijímatelia s výnimkou štátnych rozpočtových organizácií a štátne rozpočtové organizácie.</w:t>
      </w:r>
    </w:p>
    <w:p w14:paraId="5D646541" w14:textId="77777777" w:rsidR="00F77089" w:rsidRDefault="00F77089" w:rsidP="00F77089">
      <w:pPr>
        <w:pStyle w:val="Odsekzoznamu1"/>
        <w:ind w:left="0"/>
        <w:jc w:val="both"/>
        <w:rPr>
          <w:rFonts w:asciiTheme="minorHAnsi" w:hAnsiTheme="minorHAnsi" w:cstheme="minorHAnsi"/>
          <w:sz w:val="22"/>
          <w:szCs w:val="22"/>
        </w:rPr>
      </w:pPr>
      <w:r w:rsidRPr="00E8160D">
        <w:rPr>
          <w:rFonts w:asciiTheme="minorHAnsi" w:hAnsiTheme="minorHAnsi" w:cstheme="minorHAnsi"/>
          <w:sz w:val="22"/>
          <w:szCs w:val="22"/>
        </w:rPr>
        <w:t xml:space="preserve">Po vykonaní kontroly, IA MPSVR SR žiadosť o platbu (poskytnutie zálohovej platby) a žiadosť o platbu (zúčtovanie </w:t>
      </w:r>
      <w:r>
        <w:rPr>
          <w:rFonts w:asciiTheme="minorHAnsi" w:hAnsiTheme="minorHAnsi" w:cstheme="minorHAnsi"/>
          <w:sz w:val="22"/>
          <w:szCs w:val="22"/>
        </w:rPr>
        <w:t>zálohovej platby):</w:t>
      </w:r>
    </w:p>
    <w:p w14:paraId="6F8D6752" w14:textId="77777777"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schváli v plnej výške,</w:t>
      </w:r>
    </w:p>
    <w:p w14:paraId="1EC1A688" w14:textId="58B86816"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schváli v zníženej výške,</w:t>
      </w:r>
    </w:p>
    <w:p w14:paraId="061E7F0F" w14:textId="77777777"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zamietne alebo</w:t>
      </w:r>
    </w:p>
    <w:p w14:paraId="5AFD1925" w14:textId="77777777"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pozastaví,</w:t>
      </w:r>
    </w:p>
    <w:p w14:paraId="3ABA9136" w14:textId="140CE643" w:rsidR="00F77089" w:rsidRDefault="00F77089" w:rsidP="00F77089">
      <w:pPr>
        <w:pStyle w:val="Odsekzoznamu1"/>
        <w:ind w:left="0"/>
        <w:jc w:val="both"/>
        <w:rPr>
          <w:rFonts w:asciiTheme="minorHAnsi" w:hAnsiTheme="minorHAnsi" w:cstheme="minorHAnsi"/>
          <w:sz w:val="22"/>
          <w:szCs w:val="22"/>
        </w:rPr>
      </w:pPr>
      <w:r>
        <w:rPr>
          <w:rFonts w:asciiTheme="minorHAnsi" w:hAnsiTheme="minorHAnsi" w:cstheme="minorHAnsi"/>
          <w:sz w:val="22"/>
          <w:szCs w:val="22"/>
        </w:rPr>
        <w:t xml:space="preserve">pričom zo žiadosti o platbu (zúčtovanie zálohovej platby) môže časť nárokovaných výdavkov, u ktorých je pokračovať v kontrole, vyčleniť, a to v lehotách určených </w:t>
      </w:r>
      <w:r w:rsidR="000D0E56">
        <w:rPr>
          <w:rFonts w:asciiTheme="minorHAnsi" w:hAnsiTheme="minorHAnsi" w:cstheme="minorHAnsi"/>
          <w:sz w:val="22"/>
          <w:szCs w:val="22"/>
        </w:rPr>
        <w:t>SFR, resp. vo Výnimke.</w:t>
      </w:r>
    </w:p>
    <w:p w14:paraId="22618642" w14:textId="77777777" w:rsidR="00F77089" w:rsidRPr="00CE3F6A" w:rsidRDefault="00F77089" w:rsidP="00F77089">
      <w:pPr>
        <w:jc w:val="both"/>
      </w:pPr>
    </w:p>
    <w:p w14:paraId="126849F3" w14:textId="77777777" w:rsidR="00F77089" w:rsidRDefault="00F77089" w:rsidP="00F77089">
      <w:pPr>
        <w:jc w:val="both"/>
        <w:rPr>
          <w:b/>
        </w:rPr>
      </w:pPr>
      <w:r>
        <w:rPr>
          <w:b/>
        </w:rPr>
        <w:t>Postup prijímateľa:</w:t>
      </w:r>
    </w:p>
    <w:p w14:paraId="45E9BD0E" w14:textId="77777777" w:rsidR="00F77089" w:rsidRDefault="00F77089" w:rsidP="00F77089">
      <w:pPr>
        <w:jc w:val="both"/>
      </w:pPr>
      <w:r>
        <w:t>Bez potreby iniciatívy zo strany prijímateľa; aplikovateľné v nadväznosti na nadobudnutie účinnosti zmeny zmluvy o poskytnutí NFP.</w:t>
      </w:r>
    </w:p>
    <w:p w14:paraId="33068A65" w14:textId="77777777" w:rsidR="00F77089" w:rsidRPr="006E1D86" w:rsidRDefault="00F77089" w:rsidP="00F77089">
      <w:pPr>
        <w:jc w:val="both"/>
      </w:pPr>
    </w:p>
    <w:p w14:paraId="00125E4F" w14:textId="77777777" w:rsidR="00F77089" w:rsidRPr="006F0605" w:rsidRDefault="00F77089" w:rsidP="00F77089">
      <w:pPr>
        <w:pStyle w:val="Odsekzoznamu"/>
        <w:numPr>
          <w:ilvl w:val="0"/>
          <w:numId w:val="12"/>
        </w:numPr>
        <w:jc w:val="both"/>
        <w:rPr>
          <w:b/>
          <w:u w:val="single"/>
        </w:rPr>
      </w:pPr>
      <w:r w:rsidRPr="006F0605">
        <w:rPr>
          <w:b/>
          <w:u w:val="single"/>
        </w:rPr>
        <w:t>Predĺženie lehoty na zúčtovanie poskytnutej zálohovej platby</w:t>
      </w:r>
    </w:p>
    <w:p w14:paraId="5BB8B6B1" w14:textId="77777777" w:rsidR="00F77089" w:rsidRPr="00E8160D" w:rsidRDefault="00F77089" w:rsidP="00F77089">
      <w:pPr>
        <w:jc w:val="both"/>
        <w:rPr>
          <w:b/>
          <w:i/>
        </w:rPr>
      </w:pPr>
      <w:r w:rsidRPr="00E8160D">
        <w:rPr>
          <w:b/>
          <w:i/>
        </w:rPr>
        <w:t>Platí pre: prijímatelia s výnimkou štátnych rozpočtových organizácií a štátne rozpočtové organizácie.</w:t>
      </w:r>
    </w:p>
    <w:p w14:paraId="584594C5" w14:textId="77777777" w:rsidR="00F77089" w:rsidRDefault="00F77089" w:rsidP="00F77089">
      <w:pPr>
        <w:jc w:val="both"/>
      </w:pPr>
      <w:r>
        <w:t>Ak došlo k márnemu uplynutiu pôvodne dohodnutej 9-mesačnej lehoty na zúčtovanie zálohovej platby, ktorá sa Výnimkou, resp. SFR predĺžila na 12 mesiacov, nepovažuje sa to za omeškanie prijímateľa za predpokladu, že splní svoje povinnosti v tejto predĺženej 12-mesačnej lehote. Predĺžením lehoty na 12 mesiacov nie je začiatok plynutia tejto lehoty dotknutý.</w:t>
      </w:r>
    </w:p>
    <w:p w14:paraId="00692356" w14:textId="77777777" w:rsidR="00F77089" w:rsidRDefault="00F77089" w:rsidP="00F77089">
      <w:pPr>
        <w:jc w:val="both"/>
      </w:pPr>
    </w:p>
    <w:p w14:paraId="5C7D3E95" w14:textId="77777777" w:rsidR="00F77089" w:rsidRDefault="00F77089" w:rsidP="00F77089">
      <w:pPr>
        <w:jc w:val="both"/>
        <w:rPr>
          <w:b/>
        </w:rPr>
      </w:pPr>
      <w:r>
        <w:rPr>
          <w:b/>
        </w:rPr>
        <w:t>Postup prijímateľa:</w:t>
      </w:r>
    </w:p>
    <w:p w14:paraId="4BD6B7A4" w14:textId="77777777" w:rsidR="00F77089" w:rsidRDefault="00F77089" w:rsidP="00F77089">
      <w:pPr>
        <w:jc w:val="both"/>
      </w:pPr>
      <w:r>
        <w:t>Bez potreby iniciatívy zo strany prijímateľa; aplikovateľné v nadväznosti na nadobudnutie účinnosti zmeny zmluvy o poskytnutí NFP.</w:t>
      </w:r>
    </w:p>
    <w:p w14:paraId="688CBB01" w14:textId="2FD88AED" w:rsidR="00F77089" w:rsidRPr="006F0605" w:rsidRDefault="00F77089" w:rsidP="006F0605">
      <w:pPr>
        <w:pBdr>
          <w:bottom w:val="single" w:sz="4" w:space="1" w:color="auto"/>
        </w:pBdr>
        <w:rPr>
          <w:b/>
          <w:color w:val="F79646" w:themeColor="accent6"/>
        </w:rPr>
      </w:pPr>
      <w:r w:rsidRPr="006F0605">
        <w:rPr>
          <w:b/>
          <w:color w:val="F79646" w:themeColor="accent6"/>
        </w:rPr>
        <w:lastRenderedPageBreak/>
        <w:t>Platby systémom refundácie v zmysle čl. 17b VZP</w:t>
      </w:r>
    </w:p>
    <w:p w14:paraId="184A76AB" w14:textId="77777777" w:rsidR="00F77089" w:rsidRPr="00964C24" w:rsidRDefault="00F77089" w:rsidP="00F77089">
      <w:pPr>
        <w:jc w:val="both"/>
        <w:rPr>
          <w:b/>
          <w:i/>
        </w:rPr>
      </w:pPr>
      <w:r w:rsidRPr="00964C24">
        <w:rPr>
          <w:b/>
          <w:i/>
        </w:rPr>
        <w:t>Platí pre: prijímatelia s výnimkou štátnych rozpočtových organizácií a štátne rozpočtové organizácie.</w:t>
      </w:r>
    </w:p>
    <w:p w14:paraId="7BB72C0C" w14:textId="77777777" w:rsidR="00F77089" w:rsidRDefault="00F77089" w:rsidP="00F77089">
      <w:pPr>
        <w:jc w:val="both"/>
      </w:pPr>
      <w:r>
        <w:t>Sprecizovanie postupov po vykonaní kontroly žiadosti o platbu nasledovne:</w:t>
      </w:r>
    </w:p>
    <w:p w14:paraId="3D21D5D3" w14:textId="77777777" w:rsidR="00F77089" w:rsidRDefault="00F77089" w:rsidP="00F77089">
      <w:pPr>
        <w:pStyle w:val="Odsekzoznamu1"/>
        <w:ind w:left="0"/>
        <w:jc w:val="both"/>
        <w:rPr>
          <w:rFonts w:asciiTheme="minorHAnsi" w:hAnsiTheme="minorHAnsi" w:cstheme="minorHAnsi"/>
          <w:sz w:val="22"/>
          <w:szCs w:val="22"/>
        </w:rPr>
      </w:pPr>
      <w:r w:rsidRPr="002A4CB4">
        <w:rPr>
          <w:rFonts w:asciiTheme="minorHAnsi" w:hAnsiTheme="minorHAnsi" w:cstheme="minorHAnsi"/>
          <w:sz w:val="22"/>
          <w:szCs w:val="22"/>
        </w:rPr>
        <w:t>Po vykonaní kontroly</w:t>
      </w:r>
      <w:r>
        <w:rPr>
          <w:rFonts w:asciiTheme="minorHAnsi" w:hAnsiTheme="minorHAnsi" w:cstheme="minorHAnsi"/>
          <w:sz w:val="22"/>
          <w:szCs w:val="22"/>
        </w:rPr>
        <w:t>, IA MPSVR SR ž</w:t>
      </w:r>
      <w:r w:rsidRPr="002A4CB4">
        <w:rPr>
          <w:rFonts w:asciiTheme="minorHAnsi" w:hAnsiTheme="minorHAnsi" w:cstheme="minorHAnsi"/>
          <w:sz w:val="22"/>
          <w:szCs w:val="22"/>
        </w:rPr>
        <w:t>ia</w:t>
      </w:r>
      <w:r>
        <w:rPr>
          <w:rFonts w:asciiTheme="minorHAnsi" w:hAnsiTheme="minorHAnsi" w:cstheme="minorHAnsi"/>
          <w:sz w:val="22"/>
          <w:szCs w:val="22"/>
        </w:rPr>
        <w:t>dosť o platbu:</w:t>
      </w:r>
    </w:p>
    <w:p w14:paraId="5614D718" w14:textId="77777777"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schváli v plnej výške,</w:t>
      </w:r>
    </w:p>
    <w:p w14:paraId="788C8C95" w14:textId="3D983C8F"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schváli v zníženej výške,</w:t>
      </w:r>
    </w:p>
    <w:p w14:paraId="42FA1A4D" w14:textId="77777777"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zamietne alebo</w:t>
      </w:r>
    </w:p>
    <w:p w14:paraId="0FCFE4A7" w14:textId="77777777" w:rsidR="00F77089" w:rsidRDefault="00F77089" w:rsidP="00F77089">
      <w:pPr>
        <w:pStyle w:val="Odsekzoznamu1"/>
        <w:numPr>
          <w:ilvl w:val="0"/>
          <w:numId w:val="11"/>
        </w:numPr>
        <w:contextualSpacing/>
        <w:jc w:val="both"/>
        <w:rPr>
          <w:rFonts w:asciiTheme="minorHAnsi" w:hAnsiTheme="minorHAnsi" w:cstheme="minorHAnsi"/>
          <w:sz w:val="22"/>
          <w:szCs w:val="22"/>
        </w:rPr>
      </w:pPr>
      <w:r>
        <w:rPr>
          <w:rFonts w:asciiTheme="minorHAnsi" w:hAnsiTheme="minorHAnsi" w:cstheme="minorHAnsi"/>
          <w:sz w:val="22"/>
          <w:szCs w:val="22"/>
        </w:rPr>
        <w:t>pozastaví,</w:t>
      </w:r>
    </w:p>
    <w:p w14:paraId="358384A1" w14:textId="77777777" w:rsidR="00F77089" w:rsidRDefault="00F77089" w:rsidP="00F77089">
      <w:pPr>
        <w:pStyle w:val="Odsekzoznamu1"/>
        <w:ind w:left="0"/>
        <w:jc w:val="both"/>
        <w:rPr>
          <w:rFonts w:asciiTheme="minorHAnsi" w:hAnsiTheme="minorHAnsi" w:cstheme="minorHAnsi"/>
          <w:sz w:val="22"/>
          <w:szCs w:val="22"/>
        </w:rPr>
      </w:pPr>
      <w:r>
        <w:rPr>
          <w:rFonts w:asciiTheme="minorHAnsi" w:hAnsiTheme="minorHAnsi" w:cstheme="minorHAnsi"/>
          <w:sz w:val="22"/>
          <w:szCs w:val="22"/>
        </w:rPr>
        <w:t xml:space="preserve">pričom časť nárokovaných výdavkov, u ktorých je pokračovať v kontrole, môže vyčleniť, a to v lehotách určených SFR, resp. vo Výnimke. </w:t>
      </w:r>
    </w:p>
    <w:p w14:paraId="0BBCF0D0" w14:textId="77777777" w:rsidR="00F77089" w:rsidRPr="00CE3F6A" w:rsidRDefault="00F77089" w:rsidP="00F77089">
      <w:pPr>
        <w:jc w:val="both"/>
      </w:pPr>
    </w:p>
    <w:p w14:paraId="6A6F2092" w14:textId="77777777" w:rsidR="00F77089" w:rsidRDefault="00F77089" w:rsidP="00F77089">
      <w:pPr>
        <w:jc w:val="both"/>
        <w:rPr>
          <w:b/>
        </w:rPr>
      </w:pPr>
      <w:r>
        <w:rPr>
          <w:b/>
        </w:rPr>
        <w:t>Postup prijímateľa:</w:t>
      </w:r>
    </w:p>
    <w:p w14:paraId="4441660B" w14:textId="77777777" w:rsidR="00F77089" w:rsidRDefault="00F77089" w:rsidP="00F77089">
      <w:pPr>
        <w:jc w:val="both"/>
      </w:pPr>
      <w:r>
        <w:t>Bez potreby iniciatívy zo strany prijímateľa; aplikovateľné v nadväznosti na nadobudnutie účinnosti zmeny zmluvy o poskytnutí NFP.</w:t>
      </w:r>
    </w:p>
    <w:p w14:paraId="1BF48825" w14:textId="77777777" w:rsidR="00F77089" w:rsidRDefault="00F77089" w:rsidP="00F77089">
      <w:pPr>
        <w:jc w:val="both"/>
      </w:pPr>
    </w:p>
    <w:p w14:paraId="36890E94" w14:textId="350FCE65" w:rsidR="00F77089" w:rsidRPr="006F0605" w:rsidRDefault="00F77089" w:rsidP="006F0605">
      <w:pPr>
        <w:pBdr>
          <w:bottom w:val="single" w:sz="4" w:space="1" w:color="auto"/>
        </w:pBdr>
        <w:rPr>
          <w:b/>
          <w:color w:val="F79646" w:themeColor="accent6"/>
        </w:rPr>
      </w:pPr>
      <w:r w:rsidRPr="006F0605">
        <w:rPr>
          <w:b/>
          <w:color w:val="F79646" w:themeColor="accent6"/>
        </w:rPr>
        <w:t>Spoločné ustanovenia pre všetky systémy financovania a prijímateľov v zmysle čl. 18 VZP</w:t>
      </w:r>
    </w:p>
    <w:p w14:paraId="4D40E414" w14:textId="77777777" w:rsidR="00F77089" w:rsidRPr="006F0605" w:rsidRDefault="00F77089" w:rsidP="00F77089">
      <w:pPr>
        <w:pStyle w:val="Odsekzoznamu"/>
        <w:numPr>
          <w:ilvl w:val="0"/>
          <w:numId w:val="14"/>
        </w:numPr>
        <w:jc w:val="both"/>
        <w:rPr>
          <w:b/>
          <w:u w:val="single"/>
        </w:rPr>
      </w:pPr>
      <w:r w:rsidRPr="006F0605">
        <w:rPr>
          <w:b/>
          <w:u w:val="single"/>
        </w:rPr>
        <w:t>Úprava vzťahujúca sa k uplatňovaniu systémov financovania</w:t>
      </w:r>
    </w:p>
    <w:p w14:paraId="4D7ABE0A" w14:textId="77777777" w:rsidR="00F77089" w:rsidRPr="00964C24" w:rsidRDefault="00F77089" w:rsidP="00F77089">
      <w:pPr>
        <w:jc w:val="both"/>
        <w:rPr>
          <w:b/>
          <w:i/>
        </w:rPr>
      </w:pPr>
      <w:r w:rsidRPr="00964C24">
        <w:rPr>
          <w:b/>
          <w:i/>
        </w:rPr>
        <w:t>Platí pre: prijímatelia s výnimkou štátnych rozpočtových organizácií a štátne rozpočtové organizácie.</w:t>
      </w:r>
    </w:p>
    <w:p w14:paraId="78D95940" w14:textId="77777777" w:rsidR="00F77089" w:rsidRDefault="00F77089" w:rsidP="00F77089">
      <w:pPr>
        <w:jc w:val="both"/>
      </w:pPr>
      <w:r>
        <w:t>Jednotlivé systémy financovania sa môžu v rámci jedného projektu kombinovať, pričom kombinácia systémov financovania (systém zálohových platieb a systém refundácie navzájom) je možná pre všetkých prijímateľov za dodržania podmienok definovaných vo Výnimke, SFR a vo výzve.</w:t>
      </w:r>
    </w:p>
    <w:p w14:paraId="4541E15D" w14:textId="77777777" w:rsidR="00F77089" w:rsidRDefault="00F77089" w:rsidP="00F77089">
      <w:pPr>
        <w:jc w:val="both"/>
      </w:pPr>
    </w:p>
    <w:p w14:paraId="0B6F8308" w14:textId="77777777" w:rsidR="00F77089" w:rsidRDefault="00F77089" w:rsidP="00F77089">
      <w:pPr>
        <w:jc w:val="both"/>
        <w:rPr>
          <w:b/>
        </w:rPr>
      </w:pPr>
      <w:r w:rsidRPr="0082220C">
        <w:rPr>
          <w:b/>
        </w:rPr>
        <w:t>Postup prijímateľa:</w:t>
      </w:r>
    </w:p>
    <w:p w14:paraId="50028001" w14:textId="77777777" w:rsidR="00F77089" w:rsidRDefault="00F77089" w:rsidP="00F77089">
      <w:pPr>
        <w:pStyle w:val="Odsekzoznamu"/>
        <w:numPr>
          <w:ilvl w:val="0"/>
          <w:numId w:val="18"/>
        </w:numPr>
        <w:jc w:val="both"/>
      </w:pPr>
      <w:r>
        <w:t xml:space="preserve">Prijímateľ predloží PM </w:t>
      </w:r>
      <w:r w:rsidRPr="00742FC6">
        <w:rPr>
          <w:rFonts w:ascii="Calibri" w:eastAsia="Times New Roman" w:hAnsi="Calibri" w:cs="Times New Roman"/>
          <w:b/>
          <w:i/>
        </w:rPr>
        <w:t xml:space="preserve">Žiadosť o povolenie vykonania zmeny v zmluve o poskytnutí nenávratného finančného príspevku (významnejšia zmena projektu) </w:t>
      </w:r>
      <w:r>
        <w:t>v zmysle platnej Príručky pre prijímateľa (= Príloha č. 2), ktorú vyplní rovnako ako v prípade iných žiadostí o povolenie zmeny.</w:t>
      </w:r>
    </w:p>
    <w:p w14:paraId="0AF585C0" w14:textId="77777777" w:rsidR="00F77089" w:rsidRDefault="00F77089" w:rsidP="00F77089">
      <w:pPr>
        <w:pStyle w:val="Odsekzoznamu"/>
        <w:numPr>
          <w:ilvl w:val="0"/>
          <w:numId w:val="18"/>
        </w:numPr>
        <w:jc w:val="both"/>
      </w:pPr>
      <w:r>
        <w:t>Prijímateľ uvedie v časti 4. Zdôvodnenie žiadosti o zmenu informáciu, o ktorý systém financovania žiada rozšírenie spôsobu financovania.</w:t>
      </w:r>
    </w:p>
    <w:p w14:paraId="0818D2FF" w14:textId="77777777" w:rsidR="00F77089" w:rsidRPr="006E1D86" w:rsidRDefault="00F77089" w:rsidP="00F77089">
      <w:pPr>
        <w:jc w:val="both"/>
        <w:rPr>
          <w:b/>
        </w:rPr>
      </w:pPr>
    </w:p>
    <w:p w14:paraId="1DA22A25" w14:textId="77777777" w:rsidR="00F77089" w:rsidRPr="006F0605" w:rsidRDefault="00F77089" w:rsidP="00F77089">
      <w:pPr>
        <w:pStyle w:val="Odsekzoznamu"/>
        <w:numPr>
          <w:ilvl w:val="0"/>
          <w:numId w:val="14"/>
        </w:numPr>
        <w:jc w:val="both"/>
        <w:rPr>
          <w:b/>
          <w:u w:val="single"/>
        </w:rPr>
      </w:pPr>
      <w:r w:rsidRPr="006F0605">
        <w:rPr>
          <w:b/>
          <w:u w:val="single"/>
        </w:rPr>
        <w:t>Úprava úhrady účtovných dokladov dodávateľovi formou rozšírenia alternatív</w:t>
      </w:r>
    </w:p>
    <w:p w14:paraId="71378CE7" w14:textId="77777777" w:rsidR="00F77089" w:rsidRPr="00964C24" w:rsidRDefault="00F77089" w:rsidP="00F77089">
      <w:pPr>
        <w:jc w:val="both"/>
        <w:rPr>
          <w:b/>
          <w:i/>
        </w:rPr>
      </w:pPr>
      <w:r w:rsidRPr="00964C24">
        <w:rPr>
          <w:b/>
          <w:i/>
        </w:rPr>
        <w:t>Platí pre: prijímatelia s výnimkou štátnych rozpočtových organizácií a štátne rozpočtové organizácie.</w:t>
      </w:r>
    </w:p>
    <w:p w14:paraId="7B257459" w14:textId="77777777" w:rsidR="00F77089" w:rsidRPr="00964C24" w:rsidRDefault="00F77089" w:rsidP="00F77089">
      <w:pPr>
        <w:jc w:val="both"/>
      </w:pPr>
      <w:r w:rsidRPr="00964C24">
        <w:t>Úhrada účtovných dokladov dodávateľovi sa rozširuje nasledovne:</w:t>
      </w:r>
    </w:p>
    <w:p w14:paraId="66ED730A" w14:textId="77777777" w:rsidR="00F77089" w:rsidRPr="00A6072D" w:rsidRDefault="00F77089" w:rsidP="00F77089">
      <w:pPr>
        <w:pStyle w:val="Odsekzoznamu1"/>
        <w:numPr>
          <w:ilvl w:val="0"/>
          <w:numId w:val="11"/>
        </w:numPr>
        <w:contextualSpacing/>
        <w:jc w:val="both"/>
        <w:rPr>
          <w:sz w:val="22"/>
          <w:szCs w:val="22"/>
        </w:rPr>
      </w:pPr>
      <w:r w:rsidRPr="00964C24">
        <w:rPr>
          <w:rFonts w:asciiTheme="minorHAnsi" w:hAnsiTheme="minorHAnsi" w:cstheme="minorHAnsi"/>
          <w:sz w:val="22"/>
          <w:szCs w:val="22"/>
        </w:rPr>
        <w:t xml:space="preserve">ak prijímateľ nemôže splniť svoj záväzok veriteľovi, pretože veriteľ je neprítomný </w:t>
      </w:r>
      <w:r>
        <w:rPr>
          <w:rFonts w:asciiTheme="minorHAnsi" w:hAnsiTheme="minorHAnsi" w:cstheme="minorHAnsi"/>
          <w:sz w:val="22"/>
          <w:szCs w:val="22"/>
        </w:rPr>
        <w:t>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E633873" w14:textId="77777777" w:rsidR="00F77089" w:rsidRDefault="00F77089" w:rsidP="00F77089">
      <w:pPr>
        <w:pStyle w:val="Odsekzoznamu1"/>
        <w:ind w:left="0"/>
        <w:jc w:val="both"/>
        <w:rPr>
          <w:rFonts w:asciiTheme="minorHAnsi" w:hAnsiTheme="minorHAnsi" w:cstheme="minorHAnsi"/>
          <w:sz w:val="22"/>
          <w:szCs w:val="22"/>
        </w:rPr>
      </w:pPr>
    </w:p>
    <w:p w14:paraId="7F796A3E" w14:textId="77777777" w:rsidR="00F77089" w:rsidRPr="00A6072D" w:rsidRDefault="00F77089" w:rsidP="00F77089">
      <w:pPr>
        <w:pStyle w:val="Odsekzoznamu1"/>
        <w:ind w:left="0"/>
        <w:jc w:val="both"/>
        <w:rPr>
          <w:rFonts w:asciiTheme="minorHAnsi" w:hAnsiTheme="minorHAnsi" w:cstheme="minorHAnsi"/>
          <w:b/>
          <w:sz w:val="22"/>
          <w:szCs w:val="22"/>
        </w:rPr>
      </w:pPr>
      <w:r w:rsidRPr="00A6072D">
        <w:rPr>
          <w:rFonts w:asciiTheme="minorHAnsi" w:hAnsiTheme="minorHAnsi" w:cstheme="minorHAnsi"/>
          <w:b/>
          <w:sz w:val="22"/>
          <w:szCs w:val="22"/>
        </w:rPr>
        <w:t>Postup prijímateľa:</w:t>
      </w:r>
    </w:p>
    <w:p w14:paraId="6FEDBDE3" w14:textId="77777777" w:rsidR="00F77089" w:rsidRDefault="00F77089" w:rsidP="00F77089">
      <w:pPr>
        <w:pStyle w:val="Odsekzoznamu1"/>
        <w:ind w:left="0"/>
        <w:jc w:val="both"/>
        <w:rPr>
          <w:rFonts w:asciiTheme="minorHAnsi" w:hAnsiTheme="minorHAnsi" w:cstheme="minorHAnsi"/>
          <w:sz w:val="22"/>
          <w:szCs w:val="22"/>
        </w:rPr>
      </w:pPr>
      <w:r w:rsidRPr="00A6072D">
        <w:rPr>
          <w:rFonts w:asciiTheme="minorHAnsi" w:hAnsiTheme="minorHAnsi" w:cstheme="minorHAnsi"/>
          <w:sz w:val="22"/>
          <w:szCs w:val="22"/>
        </w:rPr>
        <w:t>Bez potreby iniciatívy zo strany prijímateľa; aplikovateľné v nadväznosti na nadobudnutie účinnosti zmeny zmluvy o poskytnutí NFP.</w:t>
      </w:r>
    </w:p>
    <w:p w14:paraId="0E9AA6ED" w14:textId="77777777" w:rsidR="00F77089" w:rsidRPr="006E1D86" w:rsidRDefault="00F77089" w:rsidP="00F77089">
      <w:pPr>
        <w:pStyle w:val="Odsekzoznamu1"/>
        <w:ind w:left="0"/>
        <w:jc w:val="both"/>
        <w:rPr>
          <w:rFonts w:asciiTheme="minorHAnsi" w:hAnsiTheme="minorHAnsi" w:cstheme="minorHAnsi"/>
          <w:sz w:val="22"/>
          <w:szCs w:val="22"/>
        </w:rPr>
      </w:pPr>
    </w:p>
    <w:p w14:paraId="7AD8DA47" w14:textId="77777777" w:rsidR="00F77089" w:rsidRPr="006F0605" w:rsidRDefault="00F77089" w:rsidP="00F77089">
      <w:pPr>
        <w:pStyle w:val="Odsekzoznamu"/>
        <w:numPr>
          <w:ilvl w:val="0"/>
          <w:numId w:val="14"/>
        </w:numPr>
        <w:jc w:val="both"/>
        <w:rPr>
          <w:b/>
          <w:u w:val="single"/>
        </w:rPr>
      </w:pPr>
      <w:r w:rsidRPr="006F0605">
        <w:rPr>
          <w:b/>
          <w:u w:val="single"/>
        </w:rPr>
        <w:t>Úprava úhrady záväzku formou rozšírenia alternatív</w:t>
      </w:r>
    </w:p>
    <w:p w14:paraId="6C3ADBA6" w14:textId="77777777" w:rsidR="00F77089" w:rsidRPr="00964C24" w:rsidRDefault="00F77089" w:rsidP="00F77089">
      <w:pPr>
        <w:jc w:val="both"/>
        <w:rPr>
          <w:b/>
          <w:i/>
        </w:rPr>
      </w:pPr>
      <w:r w:rsidRPr="00964C24">
        <w:rPr>
          <w:b/>
          <w:i/>
        </w:rPr>
        <w:t>Platí pre: prijímatelia s výnimkou štátnych rozpočtových organizácií a štátne rozpočtové organizácie.</w:t>
      </w:r>
    </w:p>
    <w:p w14:paraId="29096FA9" w14:textId="77777777" w:rsidR="00F77089" w:rsidRPr="00964C24" w:rsidRDefault="00F77089" w:rsidP="00F77089">
      <w:pPr>
        <w:jc w:val="both"/>
        <w:rPr>
          <w:rFonts w:cstheme="minorHAnsi"/>
          <w:shd w:val="clear" w:color="auto" w:fill="FFFFFF"/>
        </w:rPr>
      </w:pPr>
      <w:r w:rsidRPr="00964C24">
        <w:rPr>
          <w:rFonts w:cstheme="minorHAnsi"/>
          <w:shd w:val="clear" w:color="auto" w:fill="FFFFFF"/>
        </w:rPr>
        <w:t>Alternatíva úhrady záväzku sa rozširuje nasledovne:</w:t>
      </w:r>
    </w:p>
    <w:p w14:paraId="6A0D5FB6" w14:textId="77777777" w:rsidR="00F77089" w:rsidRDefault="00F77089" w:rsidP="00F77089">
      <w:pPr>
        <w:jc w:val="both"/>
        <w:rPr>
          <w:rFonts w:cstheme="minorHAnsi"/>
          <w:shd w:val="clear" w:color="auto" w:fill="FFFFFF"/>
        </w:rPr>
      </w:pPr>
      <w:r>
        <w:rPr>
          <w:rFonts w:cstheme="minorHAnsi"/>
          <w:shd w:val="clear" w:color="auto" w:fill="FFFFFF"/>
        </w:rPr>
        <w:t>V prípade úhrady záväzku prijímateľa 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 (napr. notárska zápisnica).</w:t>
      </w:r>
    </w:p>
    <w:p w14:paraId="1E1DC799" w14:textId="77777777" w:rsidR="00F77089" w:rsidRDefault="00F77089" w:rsidP="00F77089">
      <w:pPr>
        <w:pStyle w:val="Odsekzoznamu1"/>
        <w:ind w:left="0"/>
        <w:jc w:val="both"/>
        <w:rPr>
          <w:rFonts w:asciiTheme="minorHAnsi" w:hAnsiTheme="minorHAnsi" w:cstheme="minorHAnsi"/>
          <w:sz w:val="22"/>
          <w:szCs w:val="22"/>
        </w:rPr>
      </w:pPr>
    </w:p>
    <w:p w14:paraId="777F036F" w14:textId="77777777" w:rsidR="00F77089" w:rsidRPr="00A6072D" w:rsidRDefault="00F77089" w:rsidP="00F77089">
      <w:pPr>
        <w:pStyle w:val="Odsekzoznamu1"/>
        <w:ind w:left="0"/>
        <w:jc w:val="both"/>
        <w:rPr>
          <w:rFonts w:asciiTheme="minorHAnsi" w:hAnsiTheme="minorHAnsi" w:cstheme="minorHAnsi"/>
          <w:b/>
          <w:sz w:val="22"/>
          <w:szCs w:val="22"/>
        </w:rPr>
      </w:pPr>
      <w:r w:rsidRPr="00A6072D">
        <w:rPr>
          <w:rFonts w:asciiTheme="minorHAnsi" w:hAnsiTheme="minorHAnsi" w:cstheme="minorHAnsi"/>
          <w:b/>
          <w:sz w:val="22"/>
          <w:szCs w:val="22"/>
        </w:rPr>
        <w:t>Postup prijímateľa:</w:t>
      </w:r>
    </w:p>
    <w:p w14:paraId="5EB3A4C5" w14:textId="77777777" w:rsidR="00F77089" w:rsidRDefault="00F77089" w:rsidP="00F77089">
      <w:pPr>
        <w:jc w:val="both"/>
        <w:rPr>
          <w:rFonts w:cstheme="minorHAnsi"/>
        </w:rPr>
      </w:pPr>
      <w:r w:rsidRPr="00A6072D">
        <w:rPr>
          <w:rFonts w:cstheme="minorHAnsi"/>
        </w:rPr>
        <w:t>Bez potreby iniciatívy zo strany prijímateľa; aplikovateľné v nadväznosti na nadobudnutie účinnosti zmeny zmluvy o poskytnutí NFP.</w:t>
      </w:r>
    </w:p>
    <w:sectPr w:rsidR="00F77089" w:rsidSect="00053901">
      <w:footerReference w:type="default" r:id="rId12"/>
      <w:headerReference w:type="first" r:id="rId13"/>
      <w:footerReference w:type="first" r:id="rId14"/>
      <w:type w:val="continuous"/>
      <w:pgSz w:w="11906" w:h="16838" w:code="9"/>
      <w:pgMar w:top="1100" w:right="1418" w:bottom="1134" w:left="1418" w:header="0" w:footer="29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F8C4A" w14:textId="77777777" w:rsidR="00597B7D" w:rsidRDefault="00597B7D">
      <w:r>
        <w:separator/>
      </w:r>
    </w:p>
  </w:endnote>
  <w:endnote w:type="continuationSeparator" w:id="0">
    <w:p w14:paraId="13B585B8" w14:textId="77777777" w:rsidR="00597B7D" w:rsidRDefault="005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15659"/>
      <w:docPartObj>
        <w:docPartGallery w:val="Page Numbers (Bottom of Page)"/>
        <w:docPartUnique/>
      </w:docPartObj>
    </w:sdtPr>
    <w:sdtEndPr>
      <w:rPr>
        <w:rFonts w:asciiTheme="minorHAnsi" w:hAnsiTheme="minorHAnsi" w:cstheme="minorHAnsi"/>
        <w:sz w:val="22"/>
        <w:szCs w:val="22"/>
      </w:rPr>
    </w:sdtEndPr>
    <w:sdtContent>
      <w:p w14:paraId="10881C3B" w14:textId="03CEAEDE" w:rsidR="00EC7C06" w:rsidRPr="00EC7C06" w:rsidRDefault="00EC7C06">
        <w:pPr>
          <w:pStyle w:val="Pta"/>
          <w:jc w:val="right"/>
          <w:rPr>
            <w:rFonts w:asciiTheme="minorHAnsi" w:hAnsiTheme="minorHAnsi" w:cstheme="minorHAnsi"/>
            <w:sz w:val="22"/>
            <w:szCs w:val="22"/>
          </w:rPr>
        </w:pPr>
        <w:r w:rsidRPr="00EC7C06">
          <w:rPr>
            <w:rFonts w:asciiTheme="minorHAnsi" w:hAnsiTheme="minorHAnsi" w:cstheme="minorHAnsi"/>
            <w:sz w:val="22"/>
            <w:szCs w:val="22"/>
          </w:rPr>
          <w:fldChar w:fldCharType="begin"/>
        </w:r>
        <w:r w:rsidRPr="00EC7C06">
          <w:rPr>
            <w:rFonts w:asciiTheme="minorHAnsi" w:hAnsiTheme="minorHAnsi" w:cstheme="minorHAnsi"/>
            <w:sz w:val="22"/>
            <w:szCs w:val="22"/>
          </w:rPr>
          <w:instrText>PAGE   \* MERGEFORMAT</w:instrText>
        </w:r>
        <w:r w:rsidRPr="00EC7C06">
          <w:rPr>
            <w:rFonts w:asciiTheme="minorHAnsi" w:hAnsiTheme="minorHAnsi" w:cstheme="minorHAnsi"/>
            <w:sz w:val="22"/>
            <w:szCs w:val="22"/>
          </w:rPr>
          <w:fldChar w:fldCharType="separate"/>
        </w:r>
        <w:r w:rsidR="000D0E56" w:rsidRPr="000D0E56">
          <w:rPr>
            <w:rFonts w:asciiTheme="minorHAnsi" w:hAnsiTheme="minorHAnsi" w:cstheme="minorHAnsi"/>
            <w:noProof/>
            <w:sz w:val="22"/>
            <w:szCs w:val="22"/>
            <w:lang w:val="sk-SK"/>
          </w:rPr>
          <w:t>2</w:t>
        </w:r>
        <w:r w:rsidRPr="00EC7C06">
          <w:rPr>
            <w:rFonts w:asciiTheme="minorHAnsi" w:hAnsiTheme="minorHAnsi" w:cstheme="minorHAnsi"/>
            <w:sz w:val="22"/>
            <w:szCs w:val="22"/>
          </w:rPr>
          <w:fldChar w:fldCharType="end"/>
        </w:r>
      </w:p>
    </w:sdtContent>
  </w:sdt>
  <w:p w14:paraId="3FCD183C" w14:textId="77777777" w:rsidR="00EC7C06" w:rsidRDefault="00EC7C0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771E2" w14:textId="3ADC89F6" w:rsidR="00A92B43" w:rsidRDefault="00686582" w:rsidP="00021CDB">
    <w:pPr>
      <w:ind w:left="-142" w:right="-238"/>
      <w:jc w:val="center"/>
      <w:rPr>
        <w:rFonts w:ascii="Trebuchet MS" w:hAnsi="Trebuchet MS"/>
        <w:b/>
        <w:color w:val="6D6E71"/>
        <w:sz w:val="20"/>
      </w:rPr>
    </w:pPr>
    <w:r w:rsidRPr="0066256F">
      <w:rPr>
        <w:rFonts w:ascii="Trebuchet MS" w:hAnsi="Trebuchet MS" w:cs="Times New Roman"/>
        <w:noProof/>
        <w:color w:val="6D6E71"/>
        <w:sz w:val="17"/>
        <w:szCs w:val="17"/>
        <w:lang w:eastAsia="sk-SK"/>
      </w:rPr>
      <w:drawing>
        <wp:anchor distT="0" distB="0" distL="114300" distR="114300" simplePos="0" relativeHeight="251657216" behindDoc="1" locked="0" layoutInCell="1" allowOverlap="1" wp14:anchorId="5D5045E4" wp14:editId="39A58785">
          <wp:simplePos x="0" y="0"/>
          <wp:positionH relativeFrom="margin">
            <wp:posOffset>2514600</wp:posOffset>
          </wp:positionH>
          <wp:positionV relativeFrom="margin">
            <wp:posOffset>7219315</wp:posOffset>
          </wp:positionV>
          <wp:extent cx="1022350" cy="1092200"/>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ZASI_logo.png"/>
                  <pic:cNvPicPr/>
                </pic:nvPicPr>
                <pic:blipFill rotWithShape="1">
                  <a:blip r:embed="rId1" cstate="print">
                    <a:lum bright="70000" contrast="-70000"/>
                    <a:extLst>
                      <a:ext uri="{28A0092B-C50C-407E-A947-70E740481C1C}">
                        <a14:useLocalDpi xmlns:a14="http://schemas.microsoft.com/office/drawing/2010/main" val="0"/>
                      </a:ext>
                    </a:extLst>
                  </a:blip>
                  <a:srcRect b="14615"/>
                  <a:stretch/>
                </pic:blipFill>
                <pic:spPr bwMode="auto">
                  <a:xfrm>
                    <a:off x="0" y="0"/>
                    <a:ext cx="1022350" cy="109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0B01F8" w14:textId="0D6905F4" w:rsidR="001065B7" w:rsidRDefault="00686582" w:rsidP="001065B7">
    <w:pPr>
      <w:jc w:val="right"/>
      <w:rPr>
        <w:rFonts w:ascii="Trebuchet MS" w:hAnsi="Trebuchet MS"/>
        <w:color w:val="F36F21"/>
        <w:sz w:val="17"/>
        <w:szCs w:val="17"/>
      </w:rPr>
    </w:pPr>
    <w:r w:rsidRPr="00F91DAA">
      <w:rPr>
        <w:rFonts w:ascii="Trebuchet MS" w:hAnsi="Trebuchet MS"/>
        <w:color w:val="F36F21"/>
        <w:sz w:val="17"/>
        <w:szCs w:val="17"/>
      </w:rPr>
      <w:t>Sídlo:</w:t>
    </w:r>
    <w:r w:rsidRPr="0066256F">
      <w:rPr>
        <w:rFonts w:ascii="Trebuchet MS" w:hAnsi="Trebuchet MS"/>
        <w:color w:val="6D6E71"/>
        <w:sz w:val="17"/>
        <w:szCs w:val="17"/>
      </w:rPr>
      <w:t xml:space="preserve"> </w:t>
    </w:r>
    <w:r w:rsidR="001065B7" w:rsidRPr="0066256F">
      <w:rPr>
        <w:rFonts w:ascii="Trebuchet MS" w:hAnsi="Trebuchet MS"/>
        <w:color w:val="6D6E71"/>
        <w:sz w:val="17"/>
        <w:szCs w:val="17"/>
      </w:rPr>
      <w:t xml:space="preserve">Implementačná agentúra </w:t>
    </w:r>
    <w:r w:rsidR="001065B7">
      <w:rPr>
        <w:rFonts w:ascii="Trebuchet MS" w:hAnsi="Trebuchet MS"/>
        <w:color w:val="6D6E71"/>
        <w:sz w:val="17"/>
        <w:szCs w:val="17"/>
      </w:rPr>
      <w:t>Ministerstva práce, sociálnych vecí a rodiny SR</w:t>
    </w:r>
    <w:r w:rsidR="001065B7" w:rsidRPr="0066256F">
      <w:rPr>
        <w:rFonts w:ascii="Trebuchet MS" w:hAnsi="Trebuchet MS"/>
        <w:color w:val="F36F21"/>
        <w:sz w:val="17"/>
        <w:szCs w:val="17"/>
      </w:rPr>
      <w:t xml:space="preserve"> </w:t>
    </w:r>
  </w:p>
  <w:p w14:paraId="025A4041" w14:textId="38C12432" w:rsidR="00686582" w:rsidRPr="0066256F" w:rsidRDefault="00686582" w:rsidP="001065B7">
    <w:pPr>
      <w:jc w:val="right"/>
      <w:rPr>
        <w:rFonts w:ascii="Trebuchet MS" w:hAnsi="Trebuchet MS"/>
        <w:color w:val="FF6600"/>
        <w:sz w:val="17"/>
        <w:szCs w:val="17"/>
      </w:rPr>
    </w:pPr>
    <w:r w:rsidRPr="0066256F">
      <w:rPr>
        <w:rFonts w:ascii="Trebuchet MS" w:hAnsi="Trebuchet MS"/>
        <w:color w:val="F36F21"/>
        <w:sz w:val="17"/>
        <w:szCs w:val="17"/>
      </w:rPr>
      <w:t>Adresa:</w:t>
    </w:r>
    <w:r w:rsidRPr="0066256F">
      <w:rPr>
        <w:rFonts w:ascii="Trebuchet MS" w:hAnsi="Trebuchet MS"/>
        <w:color w:val="FF9900"/>
        <w:sz w:val="17"/>
        <w:szCs w:val="17"/>
      </w:rPr>
      <w:t xml:space="preserve"> </w:t>
    </w:r>
    <w:r w:rsidRPr="0066256F">
      <w:rPr>
        <w:rFonts w:ascii="Trebuchet MS" w:hAnsi="Trebuchet MS"/>
        <w:color w:val="6D6E71"/>
        <w:sz w:val="17"/>
        <w:szCs w:val="17"/>
      </w:rPr>
      <w:t>Špitálska 6</w:t>
    </w:r>
    <w:r w:rsidRPr="0066256F">
      <w:rPr>
        <w:rFonts w:ascii="Trebuchet MS" w:hAnsi="Trebuchet MS"/>
        <w:color w:val="FF9900"/>
        <w:sz w:val="17"/>
        <w:szCs w:val="17"/>
      </w:rPr>
      <w:t xml:space="preserve"> </w:t>
    </w:r>
    <w:r w:rsidRPr="0066256F">
      <w:rPr>
        <w:rFonts w:ascii="Trebuchet MS" w:hAnsi="Trebuchet MS"/>
        <w:color w:val="F36F21"/>
        <w:sz w:val="17"/>
        <w:szCs w:val="17"/>
      </w:rPr>
      <w:t>I</w:t>
    </w:r>
    <w:r w:rsidRPr="0066256F">
      <w:rPr>
        <w:rFonts w:ascii="Trebuchet MS" w:hAnsi="Trebuchet MS"/>
        <w:color w:val="FF9900"/>
        <w:sz w:val="17"/>
        <w:szCs w:val="17"/>
      </w:rPr>
      <w:t xml:space="preserve"> </w:t>
    </w:r>
    <w:r w:rsidRPr="0066256F">
      <w:rPr>
        <w:rFonts w:ascii="Trebuchet MS" w:hAnsi="Trebuchet MS"/>
        <w:color w:val="6D6E71"/>
        <w:sz w:val="17"/>
        <w:szCs w:val="17"/>
      </w:rPr>
      <w:t>814 55 Bratislava</w:t>
    </w:r>
  </w:p>
  <w:p w14:paraId="5B5F9E95" w14:textId="5EFF00ED" w:rsidR="00686582" w:rsidRPr="00096F38" w:rsidRDefault="00686582" w:rsidP="00686582">
    <w:pPr>
      <w:jc w:val="right"/>
      <w:rPr>
        <w:rFonts w:ascii="Trebuchet MS" w:hAnsi="Trebuchet MS"/>
        <w:color w:val="6D6E71"/>
        <w:sz w:val="17"/>
        <w:szCs w:val="17"/>
      </w:rPr>
    </w:pPr>
    <w:r w:rsidRPr="0066256F">
      <w:rPr>
        <w:rFonts w:ascii="Trebuchet MS" w:hAnsi="Trebuchet MS"/>
        <w:color w:val="F36F21"/>
        <w:sz w:val="17"/>
        <w:szCs w:val="17"/>
      </w:rPr>
      <w:t xml:space="preserve">tel.: </w:t>
    </w:r>
    <w:r w:rsidRPr="0066256F">
      <w:rPr>
        <w:rFonts w:ascii="Trebuchet MS" w:hAnsi="Trebuchet MS"/>
        <w:color w:val="6D6E71"/>
        <w:sz w:val="17"/>
        <w:szCs w:val="17"/>
      </w:rPr>
      <w:t xml:space="preserve">02 2043 1100 </w:t>
    </w:r>
    <w:r w:rsidRPr="0066256F">
      <w:rPr>
        <w:rFonts w:ascii="Trebuchet MS" w:hAnsi="Trebuchet MS"/>
        <w:color w:val="F36F21"/>
        <w:sz w:val="17"/>
        <w:szCs w:val="17"/>
      </w:rPr>
      <w:t xml:space="preserve">I e-mail: </w:t>
    </w:r>
    <w:r w:rsidR="002C7F62">
      <w:rPr>
        <w:rFonts w:ascii="Trebuchet MS" w:hAnsi="Trebuchet MS"/>
        <w:color w:val="6D6E71"/>
        <w:sz w:val="17"/>
        <w:szCs w:val="17"/>
      </w:rPr>
      <w:t>info@ia</w:t>
    </w:r>
    <w:r w:rsidRPr="0066256F">
      <w:rPr>
        <w:rFonts w:ascii="Trebuchet MS" w:hAnsi="Trebuchet MS"/>
        <w:color w:val="6D6E71"/>
        <w:sz w:val="17"/>
        <w:szCs w:val="17"/>
      </w:rPr>
      <w:t xml:space="preserve">.gov.sk </w:t>
    </w:r>
    <w:r w:rsidRPr="0066256F">
      <w:rPr>
        <w:rFonts w:ascii="Trebuchet MS" w:hAnsi="Trebuchet MS"/>
        <w:color w:val="F36F21"/>
        <w:sz w:val="17"/>
        <w:szCs w:val="17"/>
      </w:rPr>
      <w:t xml:space="preserve">I http: </w:t>
    </w:r>
    <w:r w:rsidR="002C7F62">
      <w:rPr>
        <w:rFonts w:ascii="Trebuchet MS" w:hAnsi="Trebuchet MS"/>
        <w:color w:val="6D6E71"/>
        <w:sz w:val="17"/>
        <w:szCs w:val="17"/>
      </w:rPr>
      <w:t>www.ia</w:t>
    </w:r>
    <w:r w:rsidRPr="0066256F">
      <w:rPr>
        <w:rFonts w:ascii="Trebuchet MS" w:hAnsi="Trebuchet MS"/>
        <w:color w:val="6D6E71"/>
        <w:sz w:val="17"/>
        <w:szCs w:val="17"/>
      </w:rPr>
      <w:t>.gov.</w:t>
    </w:r>
    <w:r>
      <w:rPr>
        <w:rFonts w:ascii="Trebuchet MS" w:hAnsi="Trebuchet MS"/>
        <w:color w:val="6D6E71"/>
        <w:sz w:val="17"/>
        <w:szCs w:val="17"/>
      </w:rPr>
      <w:t>sk</w:t>
    </w:r>
  </w:p>
  <w:p w14:paraId="7E5390F8" w14:textId="77777777" w:rsidR="00686582" w:rsidRPr="00C52A52" w:rsidRDefault="00686582" w:rsidP="00686582">
    <w:pPr>
      <w:ind w:left="-142" w:right="-238"/>
      <w:jc w:val="center"/>
      <w:rPr>
        <w:rFonts w:ascii="Trebuchet MS" w:hAnsi="Trebuchet MS"/>
        <w:b/>
        <w:color w:val="4D4D4D"/>
        <w:sz w:val="20"/>
      </w:rPr>
    </w:pPr>
  </w:p>
  <w:p w14:paraId="66ED7EF1" w14:textId="77777777" w:rsidR="00686582" w:rsidRPr="00C52A52" w:rsidRDefault="00686582" w:rsidP="00686582">
    <w:pPr>
      <w:ind w:left="-142" w:right="-238"/>
      <w:jc w:val="center"/>
      <w:rPr>
        <w:rFonts w:ascii="Trebuchet MS" w:hAnsi="Trebuchet MS"/>
        <w:b/>
        <w:color w:val="4D4D4D"/>
        <w:sz w:val="20"/>
      </w:rPr>
    </w:pPr>
  </w:p>
  <w:p w14:paraId="402BBF57" w14:textId="77777777" w:rsidR="00686582" w:rsidRPr="00C52A52" w:rsidRDefault="00686582" w:rsidP="00021CDB">
    <w:pPr>
      <w:ind w:left="-142" w:right="-238"/>
      <w:jc w:val="center"/>
      <w:rPr>
        <w:rFonts w:ascii="Trebuchet MS" w:hAnsi="Trebuchet MS"/>
        <w:b/>
        <w:color w:val="4D4D4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CB1C8" w14:textId="77777777" w:rsidR="00597B7D" w:rsidRDefault="00597B7D">
      <w:r>
        <w:separator/>
      </w:r>
    </w:p>
  </w:footnote>
  <w:footnote w:type="continuationSeparator" w:id="0">
    <w:p w14:paraId="70491FE9" w14:textId="77777777" w:rsidR="00597B7D" w:rsidRDefault="00597B7D">
      <w:r>
        <w:continuationSeparator/>
      </w:r>
    </w:p>
  </w:footnote>
  <w:footnote w:id="1">
    <w:p w14:paraId="1ED49004" w14:textId="716778C3" w:rsidR="00F06477" w:rsidRPr="006E1D86" w:rsidRDefault="00F06477">
      <w:pPr>
        <w:pStyle w:val="Textpoznmkypodiarou"/>
        <w:rPr>
          <w:color w:val="FF0000"/>
        </w:rPr>
      </w:pPr>
      <w:r w:rsidRPr="006E1D86">
        <w:rPr>
          <w:rStyle w:val="Odkaznapoznmkupodiarou"/>
          <w:color w:val="FF0000"/>
        </w:rPr>
        <w:footnoteRef/>
      </w:r>
      <w:r w:rsidRPr="006E1D86">
        <w:rPr>
          <w:color w:val="FF0000"/>
        </w:rPr>
        <w:t xml:space="preserve"> s výnimkou prijímateľov, ktorí si uplatňujú inú výnimku udelenú Ministerstvom financií SR.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2FD6" w14:textId="77777777" w:rsidR="003C3E3E" w:rsidRDefault="003C3E3E"/>
  <w:tbl>
    <w:tblPr>
      <w:tblW w:w="9031" w:type="dxa"/>
      <w:tblLook w:val="04A0" w:firstRow="1" w:lastRow="0" w:firstColumn="1" w:lastColumn="0" w:noHBand="0" w:noVBand="1"/>
    </w:tblPr>
    <w:tblGrid>
      <w:gridCol w:w="2885"/>
      <w:gridCol w:w="6146"/>
    </w:tblGrid>
    <w:tr w:rsidR="005365F3" w14:paraId="1E929756" w14:textId="77777777" w:rsidTr="000B7541">
      <w:trPr>
        <w:trHeight w:val="1188"/>
      </w:trPr>
      <w:tc>
        <w:tcPr>
          <w:tcW w:w="2885" w:type="dxa"/>
          <w:vAlign w:val="center"/>
        </w:tcPr>
        <w:p w14:paraId="3948E854" w14:textId="4EE49E40" w:rsidR="005365F3" w:rsidRDefault="00F47694" w:rsidP="00FA1C4D">
          <w:pPr>
            <w:pStyle w:val="Hlavika"/>
            <w:jc w:val="right"/>
            <w:rPr>
              <w:b/>
            </w:rPr>
          </w:pPr>
          <w:r>
            <w:rPr>
              <w:noProof/>
              <w:lang w:val="sk-SK" w:eastAsia="sk-SK"/>
            </w:rPr>
            <w:drawing>
              <wp:anchor distT="0" distB="0" distL="114300" distR="114300" simplePos="0" relativeHeight="251659264" behindDoc="0" locked="0" layoutInCell="1" allowOverlap="1" wp14:anchorId="622A33D3" wp14:editId="4F8F4F20">
                <wp:simplePos x="0" y="0"/>
                <wp:positionH relativeFrom="column">
                  <wp:posOffset>-44450</wp:posOffset>
                </wp:positionH>
                <wp:positionV relativeFrom="paragraph">
                  <wp:posOffset>251460</wp:posOffset>
                </wp:positionV>
                <wp:extent cx="5759450" cy="575945"/>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nacia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575945"/>
                        </a:xfrm>
                        <a:prstGeom prst="rect">
                          <a:avLst/>
                        </a:prstGeom>
                      </pic:spPr>
                    </pic:pic>
                  </a:graphicData>
                </a:graphic>
                <wp14:sizeRelH relativeFrom="page">
                  <wp14:pctWidth>0</wp14:pctWidth>
                </wp14:sizeRelH>
                <wp14:sizeRelV relativeFrom="page">
                  <wp14:pctHeight>0</wp14:pctHeight>
                </wp14:sizeRelV>
              </wp:anchor>
            </w:drawing>
          </w:r>
        </w:p>
      </w:tc>
      <w:tc>
        <w:tcPr>
          <w:tcW w:w="6146" w:type="dxa"/>
        </w:tcPr>
        <w:p w14:paraId="3D05B236" w14:textId="5A717D66" w:rsidR="005365F3" w:rsidRDefault="005365F3" w:rsidP="00FA1C4D">
          <w:pPr>
            <w:pStyle w:val="Hlavika"/>
            <w:tabs>
              <w:tab w:val="clear" w:pos="4320"/>
            </w:tabs>
            <w:ind w:right="-108"/>
            <w:jc w:val="right"/>
          </w:pPr>
        </w:p>
      </w:tc>
    </w:tr>
  </w:tbl>
  <w:p w14:paraId="78C49049" w14:textId="77777777" w:rsidR="003141E0" w:rsidRDefault="00597B7D" w:rsidP="001649EA">
    <w:pPr>
      <w:pStyle w:val="Hlavika"/>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B1E"/>
    <w:multiLevelType w:val="hybridMultilevel"/>
    <w:tmpl w:val="E36419A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15F34"/>
    <w:multiLevelType w:val="hybridMultilevel"/>
    <w:tmpl w:val="4D1C920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515FD2"/>
    <w:multiLevelType w:val="hybridMultilevel"/>
    <w:tmpl w:val="9766C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5E2188"/>
    <w:multiLevelType w:val="hybridMultilevel"/>
    <w:tmpl w:val="38128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FF2A54"/>
    <w:multiLevelType w:val="hybridMultilevel"/>
    <w:tmpl w:val="1BEA2A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4579B4"/>
    <w:multiLevelType w:val="hybridMultilevel"/>
    <w:tmpl w:val="CE1232A4"/>
    <w:lvl w:ilvl="0" w:tplc="3286A4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70353C"/>
    <w:multiLevelType w:val="hybridMultilevel"/>
    <w:tmpl w:val="D728DAF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062B1A"/>
    <w:multiLevelType w:val="hybridMultilevel"/>
    <w:tmpl w:val="60121D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B1837"/>
    <w:multiLevelType w:val="hybridMultilevel"/>
    <w:tmpl w:val="555C1286"/>
    <w:lvl w:ilvl="0" w:tplc="3286A4EA">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9" w15:restartNumberingAfterBreak="0">
    <w:nsid w:val="30A56FA4"/>
    <w:multiLevelType w:val="hybridMultilevel"/>
    <w:tmpl w:val="4AA04D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0D796C"/>
    <w:multiLevelType w:val="hybridMultilevel"/>
    <w:tmpl w:val="D0D86820"/>
    <w:lvl w:ilvl="0" w:tplc="624A41D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C357815"/>
    <w:multiLevelType w:val="hybridMultilevel"/>
    <w:tmpl w:val="2DF2E36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2" w15:restartNumberingAfterBreak="0">
    <w:nsid w:val="3E6E3D0E"/>
    <w:multiLevelType w:val="hybridMultilevel"/>
    <w:tmpl w:val="5FD002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1B414E"/>
    <w:multiLevelType w:val="hybridMultilevel"/>
    <w:tmpl w:val="4AA04D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9115B0"/>
    <w:multiLevelType w:val="hybridMultilevel"/>
    <w:tmpl w:val="71BEF7FA"/>
    <w:lvl w:ilvl="0" w:tplc="624A41D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6154546"/>
    <w:multiLevelType w:val="hybridMultilevel"/>
    <w:tmpl w:val="8110C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9835A2"/>
    <w:multiLevelType w:val="hybridMultilevel"/>
    <w:tmpl w:val="D728DAF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764692"/>
    <w:multiLevelType w:val="hybridMultilevel"/>
    <w:tmpl w:val="5FD002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FE49C8"/>
    <w:multiLevelType w:val="hybridMultilevel"/>
    <w:tmpl w:val="4AA04D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CD466D"/>
    <w:multiLevelType w:val="hybridMultilevel"/>
    <w:tmpl w:val="4AA04D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CC0E83"/>
    <w:multiLevelType w:val="hybridMultilevel"/>
    <w:tmpl w:val="088AF0D0"/>
    <w:lvl w:ilvl="0" w:tplc="624A41D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942072"/>
    <w:multiLevelType w:val="hybridMultilevel"/>
    <w:tmpl w:val="D02CA2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6E609E"/>
    <w:multiLevelType w:val="hybridMultilevel"/>
    <w:tmpl w:val="BEF8E6A0"/>
    <w:lvl w:ilvl="0" w:tplc="624A41D2">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3" w15:restartNumberingAfterBreak="0">
    <w:nsid w:val="6B1B2DE3"/>
    <w:multiLevelType w:val="hybridMultilevel"/>
    <w:tmpl w:val="5FD002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A318ED"/>
    <w:multiLevelType w:val="hybridMultilevel"/>
    <w:tmpl w:val="D728DAF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1D6FED"/>
    <w:multiLevelType w:val="hybridMultilevel"/>
    <w:tmpl w:val="5FD00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263418"/>
    <w:multiLevelType w:val="hybridMultilevel"/>
    <w:tmpl w:val="E006FC62"/>
    <w:lvl w:ilvl="0" w:tplc="3286A4EA">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FB52550"/>
    <w:multiLevelType w:val="hybridMultilevel"/>
    <w:tmpl w:val="5FD00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DE4851"/>
    <w:multiLevelType w:val="hybridMultilevel"/>
    <w:tmpl w:val="3076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28"/>
  </w:num>
  <w:num w:numId="5">
    <w:abstractNumId w:val="7"/>
  </w:num>
  <w:num w:numId="6">
    <w:abstractNumId w:val="1"/>
  </w:num>
  <w:num w:numId="7">
    <w:abstractNumId w:val="5"/>
  </w:num>
  <w:num w:numId="8">
    <w:abstractNumId w:val="0"/>
  </w:num>
  <w:num w:numId="9">
    <w:abstractNumId w:val="8"/>
  </w:num>
  <w:num w:numId="10">
    <w:abstractNumId w:val="10"/>
  </w:num>
  <w:num w:numId="11">
    <w:abstractNumId w:val="20"/>
  </w:num>
  <w:num w:numId="12">
    <w:abstractNumId w:val="24"/>
  </w:num>
  <w:num w:numId="13">
    <w:abstractNumId w:val="14"/>
  </w:num>
  <w:num w:numId="14">
    <w:abstractNumId w:val="6"/>
  </w:num>
  <w:num w:numId="15">
    <w:abstractNumId w:val="18"/>
  </w:num>
  <w:num w:numId="16">
    <w:abstractNumId w:val="9"/>
  </w:num>
  <w:num w:numId="17">
    <w:abstractNumId w:val="23"/>
  </w:num>
  <w:num w:numId="18">
    <w:abstractNumId w:val="13"/>
  </w:num>
  <w:num w:numId="19">
    <w:abstractNumId w:val="19"/>
  </w:num>
  <w:num w:numId="20">
    <w:abstractNumId w:val="17"/>
  </w:num>
  <w:num w:numId="21">
    <w:abstractNumId w:val="25"/>
  </w:num>
  <w:num w:numId="22">
    <w:abstractNumId w:val="12"/>
  </w:num>
  <w:num w:numId="23">
    <w:abstractNumId w:val="27"/>
  </w:num>
  <w:num w:numId="24">
    <w:abstractNumId w:val="26"/>
  </w:num>
  <w:num w:numId="25">
    <w:abstractNumId w:val="3"/>
  </w:num>
  <w:num w:numId="26">
    <w:abstractNumId w:val="21"/>
  </w:num>
  <w:num w:numId="27">
    <w:abstractNumId w:val="16"/>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16"/>
    <w:rsid w:val="00053901"/>
    <w:rsid w:val="000A0CD1"/>
    <w:rsid w:val="000B7541"/>
    <w:rsid w:val="000D0E56"/>
    <w:rsid w:val="000D10ED"/>
    <w:rsid w:val="000E0FB2"/>
    <w:rsid w:val="001010F5"/>
    <w:rsid w:val="001065B7"/>
    <w:rsid w:val="00123EC7"/>
    <w:rsid w:val="00153638"/>
    <w:rsid w:val="001649EA"/>
    <w:rsid w:val="001B0252"/>
    <w:rsid w:val="001D1EAD"/>
    <w:rsid w:val="001E74BB"/>
    <w:rsid w:val="001F0ABE"/>
    <w:rsid w:val="00224934"/>
    <w:rsid w:val="0026207E"/>
    <w:rsid w:val="002924A5"/>
    <w:rsid w:val="002965C4"/>
    <w:rsid w:val="002C7F62"/>
    <w:rsid w:val="002F20F8"/>
    <w:rsid w:val="00344BFB"/>
    <w:rsid w:val="003630C1"/>
    <w:rsid w:val="00377D05"/>
    <w:rsid w:val="003A42D6"/>
    <w:rsid w:val="003A7943"/>
    <w:rsid w:val="003C3E3E"/>
    <w:rsid w:val="0044051A"/>
    <w:rsid w:val="00442ADB"/>
    <w:rsid w:val="00453E67"/>
    <w:rsid w:val="004C62CF"/>
    <w:rsid w:val="005365F3"/>
    <w:rsid w:val="00555E04"/>
    <w:rsid w:val="00576133"/>
    <w:rsid w:val="00597B7D"/>
    <w:rsid w:val="005E3953"/>
    <w:rsid w:val="00653588"/>
    <w:rsid w:val="00686582"/>
    <w:rsid w:val="006D2534"/>
    <w:rsid w:val="006E1D86"/>
    <w:rsid w:val="006F0605"/>
    <w:rsid w:val="00761B62"/>
    <w:rsid w:val="007A74CD"/>
    <w:rsid w:val="007B10AC"/>
    <w:rsid w:val="008107A0"/>
    <w:rsid w:val="00834DC9"/>
    <w:rsid w:val="00852814"/>
    <w:rsid w:val="00861FCD"/>
    <w:rsid w:val="00897AE8"/>
    <w:rsid w:val="008D3415"/>
    <w:rsid w:val="00931B40"/>
    <w:rsid w:val="009574B2"/>
    <w:rsid w:val="0096266B"/>
    <w:rsid w:val="00965AA8"/>
    <w:rsid w:val="009F49AA"/>
    <w:rsid w:val="00A06F5A"/>
    <w:rsid w:val="00A3247B"/>
    <w:rsid w:val="00A73FD4"/>
    <w:rsid w:val="00A75B32"/>
    <w:rsid w:val="00A92B43"/>
    <w:rsid w:val="00AD6016"/>
    <w:rsid w:val="00AE3202"/>
    <w:rsid w:val="00AE37CC"/>
    <w:rsid w:val="00B03ED8"/>
    <w:rsid w:val="00B148AF"/>
    <w:rsid w:val="00B71BC1"/>
    <w:rsid w:val="00B83636"/>
    <w:rsid w:val="00B863DF"/>
    <w:rsid w:val="00BA479F"/>
    <w:rsid w:val="00C52A52"/>
    <w:rsid w:val="00C65515"/>
    <w:rsid w:val="00CC3C86"/>
    <w:rsid w:val="00CE05BA"/>
    <w:rsid w:val="00D103BA"/>
    <w:rsid w:val="00D26A73"/>
    <w:rsid w:val="00D4622B"/>
    <w:rsid w:val="00D66911"/>
    <w:rsid w:val="00DF56EE"/>
    <w:rsid w:val="00E323AF"/>
    <w:rsid w:val="00E32C18"/>
    <w:rsid w:val="00E51AD5"/>
    <w:rsid w:val="00EC6DC9"/>
    <w:rsid w:val="00EC7C06"/>
    <w:rsid w:val="00EE288E"/>
    <w:rsid w:val="00EE694E"/>
    <w:rsid w:val="00F06477"/>
    <w:rsid w:val="00F2601F"/>
    <w:rsid w:val="00F47694"/>
    <w:rsid w:val="00F579EF"/>
    <w:rsid w:val="00F7255F"/>
    <w:rsid w:val="00F77089"/>
    <w:rsid w:val="00F91DAA"/>
    <w:rsid w:val="00F95E81"/>
    <w:rsid w:val="00FA1C4D"/>
    <w:rsid w:val="00FA471A"/>
    <w:rsid w:val="00FE3F3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D4F32"/>
  <w15:docId w15:val="{6AE4B895-F9BB-4B96-A404-03820B2E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AD6016"/>
    <w:pPr>
      <w:tabs>
        <w:tab w:val="center" w:pos="4320"/>
        <w:tab w:val="right" w:pos="8640"/>
      </w:tabs>
    </w:pPr>
    <w:rPr>
      <w:rFonts w:ascii="Times New Roman" w:eastAsia="Times New Roman" w:hAnsi="Times New Roman" w:cs="Times New Roman"/>
      <w:sz w:val="24"/>
      <w:szCs w:val="24"/>
      <w:lang w:val="en-GB"/>
    </w:rPr>
  </w:style>
  <w:style w:type="character" w:customStyle="1" w:styleId="HlavikaChar">
    <w:name w:val="Hlavička Char"/>
    <w:basedOn w:val="Predvolenpsmoodseku"/>
    <w:link w:val="Hlavika"/>
    <w:rsid w:val="00AD6016"/>
    <w:rPr>
      <w:rFonts w:ascii="Times New Roman" w:eastAsia="Times New Roman" w:hAnsi="Times New Roman" w:cs="Times New Roman"/>
      <w:sz w:val="24"/>
      <w:szCs w:val="24"/>
      <w:lang w:val="en-GB"/>
    </w:rPr>
  </w:style>
  <w:style w:type="paragraph" w:styleId="Pta">
    <w:name w:val="footer"/>
    <w:basedOn w:val="Normlny"/>
    <w:link w:val="PtaChar"/>
    <w:uiPriority w:val="99"/>
    <w:rsid w:val="00AD6016"/>
    <w:pPr>
      <w:tabs>
        <w:tab w:val="center" w:pos="4320"/>
        <w:tab w:val="right" w:pos="8640"/>
      </w:tabs>
    </w:pPr>
    <w:rPr>
      <w:rFonts w:ascii="Times New Roman" w:eastAsia="Times New Roman" w:hAnsi="Times New Roman" w:cs="Times New Roman"/>
      <w:sz w:val="24"/>
      <w:szCs w:val="24"/>
      <w:lang w:val="en-GB"/>
    </w:rPr>
  </w:style>
  <w:style w:type="character" w:customStyle="1" w:styleId="PtaChar">
    <w:name w:val="Päta Char"/>
    <w:basedOn w:val="Predvolenpsmoodseku"/>
    <w:link w:val="Pta"/>
    <w:uiPriority w:val="99"/>
    <w:rsid w:val="00AD6016"/>
    <w:rPr>
      <w:rFonts w:ascii="Times New Roman" w:eastAsia="Times New Roman" w:hAnsi="Times New Roman" w:cs="Times New Roman"/>
      <w:sz w:val="24"/>
      <w:szCs w:val="24"/>
      <w:lang w:val="en-GB"/>
    </w:rPr>
  </w:style>
  <w:style w:type="paragraph" w:styleId="Textbubliny">
    <w:name w:val="Balloon Text"/>
    <w:basedOn w:val="Normlny"/>
    <w:link w:val="TextbublinyChar"/>
    <w:uiPriority w:val="99"/>
    <w:semiHidden/>
    <w:unhideWhenUsed/>
    <w:rsid w:val="007B10AC"/>
    <w:rPr>
      <w:rFonts w:ascii="Tahoma" w:hAnsi="Tahoma" w:cs="Tahoma"/>
      <w:sz w:val="16"/>
      <w:szCs w:val="16"/>
    </w:rPr>
  </w:style>
  <w:style w:type="character" w:customStyle="1" w:styleId="TextbublinyChar">
    <w:name w:val="Text bubliny Char"/>
    <w:basedOn w:val="Predvolenpsmoodseku"/>
    <w:link w:val="Textbubliny"/>
    <w:uiPriority w:val="99"/>
    <w:semiHidden/>
    <w:rsid w:val="007B10AC"/>
    <w:rPr>
      <w:rFonts w:ascii="Tahoma" w:hAnsi="Tahoma" w:cs="Tahoma"/>
      <w:sz w:val="16"/>
      <w:szCs w:val="16"/>
    </w:rPr>
  </w:style>
  <w:style w:type="character" w:styleId="Hypertextovprepojenie">
    <w:name w:val="Hyperlink"/>
    <w:basedOn w:val="Predvolenpsmoodseku"/>
    <w:uiPriority w:val="99"/>
    <w:unhideWhenUsed/>
    <w:rsid w:val="00A92B43"/>
    <w:rPr>
      <w:color w:val="0000FF" w:themeColor="hyperlink"/>
      <w:u w:val="single"/>
    </w:rPr>
  </w:style>
  <w:style w:type="paragraph" w:styleId="Odsekzoznamu">
    <w:name w:val="List Paragraph"/>
    <w:aliases w:val="body,Odsek zoznamu2"/>
    <w:basedOn w:val="Normlny"/>
    <w:link w:val="OdsekzoznamuChar"/>
    <w:uiPriority w:val="34"/>
    <w:qFormat/>
    <w:rsid w:val="0044051A"/>
    <w:pPr>
      <w:ind w:left="720"/>
      <w:contextualSpacing/>
    </w:pPr>
  </w:style>
  <w:style w:type="paragraph" w:styleId="Bezriadkovania">
    <w:name w:val="No Spacing"/>
    <w:uiPriority w:val="1"/>
    <w:qFormat/>
    <w:rsid w:val="0044051A"/>
    <w:rPr>
      <w:rFonts w:ascii="Rockwell" w:eastAsia="Rockwell" w:hAnsi="Rockwell" w:cs="Times New Roman"/>
    </w:rPr>
  </w:style>
  <w:style w:type="paragraph" w:customStyle="1" w:styleId="Odsekzoznamu1">
    <w:name w:val="Odsek zoznamu1"/>
    <w:basedOn w:val="Normlny"/>
    <w:qFormat/>
    <w:rsid w:val="0044051A"/>
    <w:pPr>
      <w:ind w:left="708"/>
    </w:pPr>
    <w:rPr>
      <w:rFonts w:ascii="Times New Roman" w:eastAsia="Times New Roman" w:hAnsi="Times New Roman" w:cs="Times New Roman"/>
      <w:sz w:val="24"/>
      <w:szCs w:val="24"/>
      <w:lang w:val="nl-NL" w:eastAsia="nl-NL"/>
    </w:rPr>
  </w:style>
  <w:style w:type="table" w:styleId="Mriekatabuky">
    <w:name w:val="Table Grid"/>
    <w:basedOn w:val="Normlnatabuka"/>
    <w:uiPriority w:val="59"/>
    <w:rsid w:val="000B7541"/>
    <w:rPr>
      <w:rFonts w:eastAsiaTheme="minorEastAsia"/>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dsekzoznamuChar">
    <w:name w:val="Odsek zoznamu Char"/>
    <w:aliases w:val="body Char,Odsek zoznamu2 Char"/>
    <w:link w:val="Odsekzoznamu"/>
    <w:uiPriority w:val="34"/>
    <w:locked/>
    <w:rsid w:val="000B7541"/>
  </w:style>
  <w:style w:type="character" w:styleId="Odkaznakomentr">
    <w:name w:val="annotation reference"/>
    <w:basedOn w:val="Predvolenpsmoodseku"/>
    <w:uiPriority w:val="99"/>
    <w:semiHidden/>
    <w:unhideWhenUsed/>
    <w:rsid w:val="00AE37CC"/>
    <w:rPr>
      <w:sz w:val="16"/>
      <w:szCs w:val="16"/>
    </w:rPr>
  </w:style>
  <w:style w:type="paragraph" w:styleId="Textkomentra">
    <w:name w:val="annotation text"/>
    <w:basedOn w:val="Normlny"/>
    <w:link w:val="TextkomentraChar"/>
    <w:uiPriority w:val="99"/>
    <w:unhideWhenUsed/>
    <w:rsid w:val="00AE37CC"/>
    <w:pPr>
      <w:spacing w:after="200"/>
    </w:pPr>
    <w:rPr>
      <w:rFonts w:eastAsiaTheme="minorEastAsia"/>
      <w:sz w:val="20"/>
      <w:szCs w:val="20"/>
      <w:lang w:eastAsia="sk-SK"/>
    </w:rPr>
  </w:style>
  <w:style w:type="character" w:customStyle="1" w:styleId="TextkomentraChar">
    <w:name w:val="Text komentára Char"/>
    <w:basedOn w:val="Predvolenpsmoodseku"/>
    <w:link w:val="Textkomentra"/>
    <w:uiPriority w:val="99"/>
    <w:rsid w:val="00AE37CC"/>
    <w:rPr>
      <w:rFonts w:eastAsiaTheme="minorEastAsia"/>
      <w:sz w:val="20"/>
      <w:szCs w:val="20"/>
      <w:lang w:eastAsia="sk-SK"/>
    </w:rPr>
  </w:style>
  <w:style w:type="paragraph" w:styleId="Textpoznmkypodiarou">
    <w:name w:val="footnote text"/>
    <w:basedOn w:val="Normlny"/>
    <w:link w:val="TextpoznmkypodiarouChar"/>
    <w:uiPriority w:val="99"/>
    <w:semiHidden/>
    <w:unhideWhenUsed/>
    <w:rsid w:val="00F06477"/>
    <w:rPr>
      <w:sz w:val="20"/>
      <w:szCs w:val="20"/>
    </w:rPr>
  </w:style>
  <w:style w:type="character" w:customStyle="1" w:styleId="TextpoznmkypodiarouChar">
    <w:name w:val="Text poznámky pod čiarou Char"/>
    <w:basedOn w:val="Predvolenpsmoodseku"/>
    <w:link w:val="Textpoznmkypodiarou"/>
    <w:uiPriority w:val="99"/>
    <w:semiHidden/>
    <w:rsid w:val="00F06477"/>
    <w:rPr>
      <w:sz w:val="20"/>
      <w:szCs w:val="20"/>
    </w:rPr>
  </w:style>
  <w:style w:type="character" w:styleId="Odkaznapoznmkupodiarou">
    <w:name w:val="footnote reference"/>
    <w:basedOn w:val="Predvolenpsmoodseku"/>
    <w:uiPriority w:val="99"/>
    <w:semiHidden/>
    <w:unhideWhenUsed/>
    <w:rsid w:val="00F06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333842">
      <w:bodyDiv w:val="1"/>
      <w:marLeft w:val="0"/>
      <w:marRight w:val="0"/>
      <w:marTop w:val="0"/>
      <w:marBottom w:val="0"/>
      <w:divBdr>
        <w:top w:val="none" w:sz="0" w:space="0" w:color="auto"/>
        <w:left w:val="none" w:sz="0" w:space="0" w:color="auto"/>
        <w:bottom w:val="none" w:sz="0" w:space="0" w:color="auto"/>
        <w:right w:val="none" w:sz="0" w:space="0" w:color="auto"/>
      </w:divBdr>
    </w:div>
    <w:div w:id="15682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fsr.sk/sk/financne-vztahy-eu/povstupove-fondy-eu/programove-obdobie-2014-2020/europske-strukturalne-investicne-fondy/material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a.gov.sk" TargetMode="External"/><Relationship Id="rId4" Type="http://schemas.openxmlformats.org/officeDocument/2006/relationships/styles" Target="styles.xml"/><Relationship Id="rId9" Type="http://schemas.openxmlformats.org/officeDocument/2006/relationships/hyperlink" Target="http://www.partnerskadohoda.gov.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D7328F3-DCBA-4CF5-8749-B0F3468C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3407</Words>
  <Characters>19423</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Fond socialneho rozvoja</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Večera Pavel</dc:creator>
  <cp:lastModifiedBy>Oddelenie metodiky</cp:lastModifiedBy>
  <cp:revision>4</cp:revision>
  <cp:lastPrinted>2016-01-26T12:01:00Z</cp:lastPrinted>
  <dcterms:created xsi:type="dcterms:W3CDTF">2020-08-24T08:43:00Z</dcterms:created>
  <dcterms:modified xsi:type="dcterms:W3CDTF">2020-08-24T08:46:00Z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PRECONFIG@1.1001:a_deliveredat">
    <vt:lpwstr/>
  </property>
  <property fmtid="{D5CDD505-2E9C-101B-9397-08002B2CF9AE}" pid="3" name="FSC#SKPRECONFIG@1.1001:a_extension">
    <vt:lpwstr/>
  </property>
  <property fmtid="{D5CDD505-2E9C-101B-9397-08002B2CF9AE}" pid="4" name="FSC#SKPRECONFIG@1.1001:a_fileresponsible">
    <vt:lpwstr/>
  </property>
  <property fmtid="{D5CDD505-2E9C-101B-9397-08002B2CF9AE}" pid="5" name="FSC#SKPRECONFIG@1.1001:a_filesubj">
    <vt:lpwstr/>
  </property>
  <property fmtid="{D5CDD505-2E9C-101B-9397-08002B2CF9AE}" pid="6" name="FSC#SKPRECONFIG@1.1001:a_oursign">
    <vt:lpwstr/>
  </property>
  <property fmtid="{D5CDD505-2E9C-101B-9397-08002B2CF9AE}" pid="7" name="FSC#SKPRECONFIG@1.1001:a_sendersign">
    <vt:lpwstr/>
  </property>
  <property fmtid="{D5CDD505-2E9C-101B-9397-08002B2CF9AE}" pid="8" name="FSC#SKPRECONFIG@1.1001:a_validfrom">
    <vt:lpwstr/>
  </property>
  <property fmtid="{D5CDD505-2E9C-101B-9397-08002B2CF9AE}" pid="9" name="FSC#SKPRECONFIGSK@10.2600:emailsprac">
    <vt:lpwstr/>
  </property>
  <property fmtid="{D5CDD505-2E9C-101B-9397-08002B2CF9AE}" pid="10" name="FSC#SKPRECONFIGSK@10.2600:sk_org_fullname">
    <vt:lpwstr>Implementačná agentúra pre Operačný program Zamestnanosť a sociálna inklúzia </vt:lpwstr>
  </property>
  <property fmtid="{D5CDD505-2E9C-101B-9397-08002B2CF9AE}" pid="11" name="FSC#SKPRECONFIGSK@10.2600:viz_fileresporg_emailaddress">
    <vt:lpwstr/>
  </property>
  <property fmtid="{D5CDD505-2E9C-101B-9397-08002B2CF9AE}" pid="12" name="FSC#SKPRECONFIGSK@10.2600:viz_fileresporg_fax">
    <vt:lpwstr/>
  </property>
  <property fmtid="{D5CDD505-2E9C-101B-9397-08002B2CF9AE}" pid="13" name="FSC#SKPRECONFIGSK@10.2600:viz_fileresporg_function">
    <vt:lpwstr/>
  </property>
  <property fmtid="{D5CDD505-2E9C-101B-9397-08002B2CF9AE}" pid="14" name="FSC#SKPRECONFIGSK@10.2600:viz_fileresporg_head">
    <vt:lpwstr/>
  </property>
  <property fmtid="{D5CDD505-2E9C-101B-9397-08002B2CF9AE}" pid="15" name="FSC#SKPRECONFIGSK@10.2600:viz_fileresporg_longname">
    <vt:lpwstr/>
  </property>
  <property fmtid="{D5CDD505-2E9C-101B-9397-08002B2CF9AE}" pid="16" name="FSC#SKPRECONFIGSK@10.2600:viz_fileresporg_phone_OU">
    <vt:lpwstr/>
  </property>
  <property fmtid="{D5CDD505-2E9C-101B-9397-08002B2CF9AE}" pid="17" name="FSC#SKPRECONFIGSK@10.2600:viz_fileresporg_psc">
    <vt:lpwstr/>
  </property>
  <property fmtid="{D5CDD505-2E9C-101B-9397-08002B2CF9AE}" pid="18" name="FSC#SKPRECONFIGSK@10.2600:viz_fileresporg_ulica">
    <vt:lpwstr/>
  </property>
  <property fmtid="{D5CDD505-2E9C-101B-9397-08002B2CF9AE}" pid="19" name="FSC#SKPRECONFIGSK@10.2600:viz_tel_number">
    <vt:lpwstr/>
  </property>
  <property fmtid="{D5CDD505-2E9C-101B-9397-08002B2CF9AE}" pid="20" name="FSC#SKPRECONFIGSK@10.2600:zaznam_jeden_adresat">
    <vt:lpwstr/>
  </property>
  <property fmtid="{D5CDD505-2E9C-101B-9397-08002B2CF9AE}" pid="21" name="FSC#SKMPSVR@103.510:mp_org_city">
    <vt:lpwstr>Bratislava</vt:lpwstr>
  </property>
  <property fmtid="{D5CDD505-2E9C-101B-9397-08002B2CF9AE}" pid="22" name="FSC$NOPARSEFILE">
    <vt:bool>true</vt:bool>
  </property>
</Properties>
</file>