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AFDD1" w14:textId="74BF5B25" w:rsidR="000B7541" w:rsidRDefault="000B7541" w:rsidP="000B7541">
      <w:pPr>
        <w:jc w:val="center"/>
        <w:rPr>
          <w:b/>
          <w:color w:val="F79646" w:themeColor="accent6"/>
          <w:sz w:val="30"/>
          <w:szCs w:val="30"/>
        </w:rPr>
      </w:pPr>
      <w:r>
        <w:rPr>
          <w:b/>
          <w:color w:val="F79646" w:themeColor="accent6"/>
          <w:sz w:val="30"/>
          <w:szCs w:val="30"/>
        </w:rPr>
        <w:t>INICIATÍVNA VÝNIMKA MF SR A JEJ APLIKÁCIA DO PRAXE</w:t>
      </w:r>
    </w:p>
    <w:p w14:paraId="6C188330" w14:textId="77777777" w:rsidR="000B7541" w:rsidRDefault="000B7541" w:rsidP="000B7541">
      <w:pPr>
        <w:jc w:val="center"/>
      </w:pPr>
    </w:p>
    <w:p w14:paraId="52522E3A" w14:textId="77777777" w:rsidR="00FA471A" w:rsidRDefault="00FA471A" w:rsidP="000B7541">
      <w:pPr>
        <w:jc w:val="both"/>
      </w:pPr>
    </w:p>
    <w:p w14:paraId="62A801E2" w14:textId="444BA435" w:rsidR="000B7541" w:rsidRDefault="00FA471A" w:rsidP="000B7541">
      <w:pPr>
        <w:jc w:val="both"/>
      </w:pPr>
      <w:r>
        <w:t>Vážený prijímateľ,</w:t>
      </w:r>
    </w:p>
    <w:p w14:paraId="625D1577" w14:textId="77777777" w:rsidR="000B7541" w:rsidRDefault="000B7541" w:rsidP="000B7541">
      <w:pPr>
        <w:jc w:val="both"/>
      </w:pPr>
    </w:p>
    <w:p w14:paraId="280D5252" w14:textId="38DE7715" w:rsidR="000B7541" w:rsidRDefault="000B7541" w:rsidP="000B7541">
      <w:pPr>
        <w:jc w:val="both"/>
      </w:pPr>
      <w:r>
        <w:t xml:space="preserve">za účelom operatívneho riešenia situácie vzniknutej v súvislosti s pandémiou COVID-19, </w:t>
      </w:r>
      <w:r w:rsidRPr="00BE6712">
        <w:rPr>
          <w:b/>
        </w:rPr>
        <w:t xml:space="preserve">Ministerstvo financií Slovenskej republiky udelilo </w:t>
      </w:r>
      <w:r>
        <w:rPr>
          <w:b/>
        </w:rPr>
        <w:t xml:space="preserve">dňa 8.4.2020 </w:t>
      </w:r>
      <w:r w:rsidRPr="00BE6712">
        <w:rPr>
          <w:b/>
        </w:rPr>
        <w:t>iniciatívnu výnimku zo Systému finančného riadenia</w:t>
      </w:r>
      <w:r>
        <w:t xml:space="preserve"> štrukturálnych fondov, Kohézneho fondu a Európskeho námorného a rybárskeho fondu na programové obdobie 2014-2020 (ďalej len „</w:t>
      </w:r>
      <w:r w:rsidR="00D4622B">
        <w:t xml:space="preserve">iniciatívna </w:t>
      </w:r>
      <w:r>
        <w:t xml:space="preserve">výnimka MF SR zo SFR“) </w:t>
      </w:r>
      <w:r w:rsidRPr="00BE6712">
        <w:rPr>
          <w:b/>
        </w:rPr>
        <w:t>v súvislosti s aplikovaním zjednodušení pre oblasť</w:t>
      </w:r>
      <w:r>
        <w:rPr>
          <w:b/>
        </w:rPr>
        <w:t xml:space="preserve"> fi</w:t>
      </w:r>
      <w:r w:rsidRPr="00BE6712">
        <w:rPr>
          <w:b/>
        </w:rPr>
        <w:t>nančného riadenia</w:t>
      </w:r>
      <w:r w:rsidRPr="0096166E">
        <w:t>.</w:t>
      </w:r>
    </w:p>
    <w:p w14:paraId="221BD055" w14:textId="77777777" w:rsidR="000B7541" w:rsidRDefault="000B7541" w:rsidP="000B7541">
      <w:pPr>
        <w:jc w:val="both"/>
      </w:pPr>
    </w:p>
    <w:p w14:paraId="20141DBB" w14:textId="77777777" w:rsidR="000B7541" w:rsidRDefault="000B7541" w:rsidP="000B7541">
      <w:pPr>
        <w:jc w:val="both"/>
        <w:rPr>
          <w:b/>
        </w:rPr>
      </w:pPr>
      <w:r>
        <w:rPr>
          <w:b/>
        </w:rPr>
        <w:t>V</w:t>
      </w:r>
      <w:r w:rsidRPr="00BE6712">
        <w:rPr>
          <w:b/>
        </w:rPr>
        <w:t xml:space="preserve"> podmienkach implementácie dopytovo orientovaných projektov v rámci </w:t>
      </w:r>
      <w:r>
        <w:rPr>
          <w:b/>
        </w:rPr>
        <w:t xml:space="preserve">prioritných osí 2, 3, a 4 </w:t>
      </w:r>
      <w:r w:rsidRPr="00BE6712">
        <w:rPr>
          <w:b/>
        </w:rPr>
        <w:t xml:space="preserve">operačného programu Ľudské zdroje, s účinnosťou od </w:t>
      </w:r>
      <w:r>
        <w:rPr>
          <w:b/>
        </w:rPr>
        <w:t>21.7.2020</w:t>
      </w:r>
      <w:r>
        <w:t xml:space="preserve"> pristupuje IA MPSVR SR </w:t>
      </w:r>
      <w:r w:rsidRPr="00BE6712">
        <w:rPr>
          <w:b/>
        </w:rPr>
        <w:t>k</w:t>
      </w:r>
      <w:r>
        <w:rPr>
          <w:b/>
        </w:rPr>
        <w:t> </w:t>
      </w:r>
      <w:r w:rsidRPr="00BE6712">
        <w:rPr>
          <w:b/>
        </w:rPr>
        <w:t>ap</w:t>
      </w:r>
      <w:r>
        <w:rPr>
          <w:b/>
        </w:rPr>
        <w:t>likácii i</w:t>
      </w:r>
      <w:r w:rsidRPr="00BE6712">
        <w:rPr>
          <w:b/>
        </w:rPr>
        <w:t xml:space="preserve">niciatívnej výnimky </w:t>
      </w:r>
      <w:r>
        <w:rPr>
          <w:b/>
        </w:rPr>
        <w:t>MF SR zo SFR nasledovne:</w:t>
      </w:r>
    </w:p>
    <w:p w14:paraId="3EC54209" w14:textId="77777777" w:rsidR="000B7541" w:rsidRPr="002B07F4" w:rsidRDefault="000B7541" w:rsidP="000B7541">
      <w:pPr>
        <w:jc w:val="both"/>
      </w:pPr>
    </w:p>
    <w:p w14:paraId="30832877" w14:textId="77777777" w:rsidR="000B7541" w:rsidRPr="009023AC" w:rsidRDefault="000B7541" w:rsidP="000B7541">
      <w:pPr>
        <w:pStyle w:val="Odsekzoznamu"/>
        <w:numPr>
          <w:ilvl w:val="0"/>
          <w:numId w:val="8"/>
        </w:numPr>
        <w:pBdr>
          <w:bottom w:val="single" w:sz="4" w:space="1" w:color="auto"/>
        </w:pBdr>
        <w:jc w:val="both"/>
        <w:rPr>
          <w:b/>
          <w:color w:val="00B050"/>
        </w:rPr>
      </w:pPr>
      <w:r>
        <w:rPr>
          <w:b/>
          <w:color w:val="00B050"/>
        </w:rPr>
        <w:t>Zmluva o poskytnutí NFP a zjednodušenia pre oblasť finančného riadenia</w:t>
      </w:r>
    </w:p>
    <w:p w14:paraId="32B424DD" w14:textId="77777777" w:rsidR="000B7541" w:rsidRDefault="000B7541" w:rsidP="000B7541">
      <w:pPr>
        <w:jc w:val="both"/>
      </w:pPr>
      <w:r>
        <w:rPr>
          <w:b/>
        </w:rPr>
        <w:t>V zmysle informácie v predchádzajúcom emaile, Implementačná agentúra Ministerstva práce, sociálnych vecí a rodiny SR (ďalej len „</w:t>
      </w:r>
      <w:r w:rsidRPr="001F60CC">
        <w:rPr>
          <w:b/>
        </w:rPr>
        <w:t>IA MPSVR SR</w:t>
      </w:r>
      <w:r>
        <w:rPr>
          <w:b/>
        </w:rPr>
        <w:t>“)</w:t>
      </w:r>
      <w:r>
        <w:t xml:space="preserve"> ako poskytovateľ pomoci </w:t>
      </w:r>
      <w:r w:rsidRPr="001F60CC">
        <w:rPr>
          <w:b/>
        </w:rPr>
        <w:t>prist</w:t>
      </w:r>
      <w:r>
        <w:rPr>
          <w:b/>
        </w:rPr>
        <w:t>úpila O</w:t>
      </w:r>
      <w:r w:rsidRPr="001F60CC">
        <w:rPr>
          <w:b/>
        </w:rPr>
        <w:t>známe</w:t>
      </w:r>
      <w:r>
        <w:rPr>
          <w:b/>
        </w:rPr>
        <w:t>ním</w:t>
      </w:r>
      <w:r w:rsidRPr="001F60CC">
        <w:rPr>
          <w:b/>
        </w:rPr>
        <w:t xml:space="preserve"> </w:t>
      </w:r>
      <w:r>
        <w:rPr>
          <w:b/>
        </w:rPr>
        <w:t xml:space="preserve">k </w:t>
      </w:r>
      <w:r w:rsidRPr="001F60CC">
        <w:rPr>
          <w:b/>
        </w:rPr>
        <w:t xml:space="preserve">hromadnej </w:t>
      </w:r>
      <w:r>
        <w:rPr>
          <w:b/>
        </w:rPr>
        <w:t>zmene z</w:t>
      </w:r>
      <w:r w:rsidRPr="001F60CC">
        <w:rPr>
          <w:b/>
        </w:rPr>
        <w:t>mluvy o poskytnutí nenávratného finančného príspevku</w:t>
      </w:r>
      <w:r>
        <w:t xml:space="preserve"> (ďalej len „zmluva o poskytnutí NFP“).</w:t>
      </w:r>
      <w:r w:rsidRPr="007F218B">
        <w:rPr>
          <w:rFonts w:cstheme="minorHAnsi"/>
          <w:b/>
        </w:rPr>
        <w:t xml:space="preserve"> </w:t>
      </w:r>
      <w:r>
        <w:rPr>
          <w:rFonts w:cstheme="minorHAnsi"/>
          <w:b/>
        </w:rPr>
        <w:t>Hromadná zmena zm</w:t>
      </w:r>
      <w:r w:rsidRPr="001F60CC">
        <w:rPr>
          <w:rFonts w:cstheme="minorHAnsi"/>
          <w:b/>
        </w:rPr>
        <w:t>luvy o</w:t>
      </w:r>
      <w:r>
        <w:rPr>
          <w:rFonts w:cstheme="minorHAnsi"/>
          <w:b/>
        </w:rPr>
        <w:t xml:space="preserve"> poskytnutí </w:t>
      </w:r>
      <w:r w:rsidRPr="001F60CC">
        <w:rPr>
          <w:rFonts w:cstheme="minorHAnsi"/>
          <w:b/>
        </w:rPr>
        <w:t>NFP</w:t>
      </w:r>
      <w:r>
        <w:rPr>
          <w:rFonts w:cstheme="minorHAnsi"/>
        </w:rPr>
        <w:t xml:space="preserve"> </w:t>
      </w:r>
      <w:r w:rsidRPr="001F60CC">
        <w:rPr>
          <w:rFonts w:cstheme="minorHAnsi"/>
          <w:b/>
        </w:rPr>
        <w:t>sa vzťahuje na všetky dopytovo orientované projekty</w:t>
      </w:r>
      <w:r w:rsidRPr="007F218B">
        <w:rPr>
          <w:rFonts w:cstheme="minorHAnsi"/>
          <w:b/>
        </w:rPr>
        <w:t xml:space="preserve">, implementované v rámci prioritných osí </w:t>
      </w:r>
      <w:r>
        <w:rPr>
          <w:rFonts w:cstheme="minorHAnsi"/>
          <w:b/>
        </w:rPr>
        <w:t xml:space="preserve">2, </w:t>
      </w:r>
      <w:r w:rsidRPr="007F218B">
        <w:rPr>
          <w:rFonts w:cstheme="minorHAnsi"/>
          <w:b/>
        </w:rPr>
        <w:t xml:space="preserve">3 a 4 </w:t>
      </w:r>
      <w:r>
        <w:rPr>
          <w:rFonts w:cstheme="minorHAnsi"/>
          <w:b/>
        </w:rPr>
        <w:t>operačného programu Ľudské zdroje (ďalej len „</w:t>
      </w:r>
      <w:r w:rsidRPr="007F218B">
        <w:rPr>
          <w:rFonts w:cstheme="minorHAnsi"/>
          <w:b/>
        </w:rPr>
        <w:t>OP ĽZ</w:t>
      </w:r>
      <w:r>
        <w:rPr>
          <w:rFonts w:cstheme="minorHAnsi"/>
          <w:b/>
        </w:rPr>
        <w:t>“)</w:t>
      </w:r>
      <w:r>
        <w:rPr>
          <w:rFonts w:cstheme="minorHAnsi"/>
        </w:rPr>
        <w:t>.</w:t>
      </w:r>
    </w:p>
    <w:p w14:paraId="43F6FEA3" w14:textId="77777777" w:rsidR="000B7541" w:rsidRPr="00802E23" w:rsidRDefault="000B7541" w:rsidP="000B7541">
      <w:pPr>
        <w:jc w:val="both"/>
      </w:pPr>
      <w:r>
        <w:t xml:space="preserve">Oznámenie hromadnej zmeny zmluvy o poskytnutí NFP je rovnako zverejnené </w:t>
      </w:r>
      <w:r w:rsidRPr="0014550F">
        <w:t>na našom webovom sídle</w:t>
      </w:r>
      <w:r>
        <w:rPr>
          <w:b/>
        </w:rPr>
        <w:t xml:space="preserve"> </w:t>
      </w:r>
      <w:r w:rsidRPr="00802E23">
        <w:t>(</w:t>
      </w:r>
      <w:hyperlink r:id="rId9" w:history="1">
        <w:r w:rsidRPr="00802E23">
          <w:rPr>
            <w:rStyle w:val="Hypertextovprepojenie"/>
          </w:rPr>
          <w:t>www.ia.gov.sk</w:t>
        </w:r>
      </w:hyperlink>
      <w:r w:rsidRPr="00802E23">
        <w:t>/ kategória Mimoriadne opatrenia v súvislosti s </w:t>
      </w:r>
      <w:r>
        <w:t>koronavírusom</w:t>
      </w:r>
      <w:r w:rsidRPr="00802E23">
        <w:t xml:space="preserve">/ </w:t>
      </w:r>
      <w:r>
        <w:t xml:space="preserve">časť </w:t>
      </w:r>
      <w:r w:rsidRPr="00802E23">
        <w:t xml:space="preserve">Opatrenia platné pre </w:t>
      </w:r>
      <w:r>
        <w:t>dopytovo orientované projekty).</w:t>
      </w:r>
    </w:p>
    <w:p w14:paraId="75939093" w14:textId="77777777" w:rsidR="000B7541" w:rsidRPr="00563CC6" w:rsidRDefault="000B7541" w:rsidP="000B7541">
      <w:pPr>
        <w:jc w:val="both"/>
      </w:pPr>
    </w:p>
    <w:p w14:paraId="391E3DAE" w14:textId="77777777" w:rsidR="000B7541" w:rsidRDefault="000B7541" w:rsidP="000B7541">
      <w:pPr>
        <w:jc w:val="both"/>
      </w:pPr>
      <w:r>
        <w:rPr>
          <w:b/>
        </w:rPr>
        <w:t xml:space="preserve">Aplikácia: </w:t>
      </w:r>
      <w:r>
        <w:t>všetky výzvy.</w:t>
      </w:r>
    </w:p>
    <w:p w14:paraId="583113CD" w14:textId="77777777" w:rsidR="000B7541" w:rsidRDefault="000B7541" w:rsidP="000B7541">
      <w:pPr>
        <w:jc w:val="both"/>
      </w:pPr>
    </w:p>
    <w:p w14:paraId="6DD18646" w14:textId="71D5E593" w:rsidR="000B7541" w:rsidRDefault="000B7541" w:rsidP="000B7541">
      <w:pPr>
        <w:jc w:val="both"/>
      </w:pPr>
      <w:r w:rsidRPr="008900A8">
        <w:rPr>
          <w:b/>
        </w:rPr>
        <w:t>Dopad:</w:t>
      </w:r>
      <w:r>
        <w:t xml:space="preserve"> </w:t>
      </w:r>
      <w:r w:rsidRPr="008900A8">
        <w:t xml:space="preserve">hromadná zmena zmluvy o poskytnutí NFP, ktorou sa nahrádza príloha zmluvy o poskytnutí nenávratného finančného príspevku, ktorou sú Všeobecné zmluvné podmienky (ďalej </w:t>
      </w:r>
      <w:r w:rsidR="00FA471A">
        <w:t>aj</w:t>
      </w:r>
      <w:r w:rsidRPr="008900A8">
        <w:t xml:space="preserve"> „VZP“) v časti článkov 10, 11, 15, 16, 17a, 17b, 17c (neaplikuje sa), 18 a</w:t>
      </w:r>
      <w:r>
        <w:t> </w:t>
      </w:r>
      <w:r w:rsidRPr="008900A8">
        <w:t>20</w:t>
      </w:r>
      <w:r>
        <w:t>.</w:t>
      </w:r>
    </w:p>
    <w:p w14:paraId="1A190D5D" w14:textId="77777777" w:rsidR="000B7541" w:rsidRDefault="000B7541" w:rsidP="000B7541">
      <w:pPr>
        <w:ind w:left="360"/>
        <w:jc w:val="both"/>
      </w:pPr>
    </w:p>
    <w:p w14:paraId="4E226BD8" w14:textId="77777777" w:rsidR="000B7541" w:rsidRPr="00480CAF" w:rsidRDefault="000B7541" w:rsidP="000B7541">
      <w:pPr>
        <w:pStyle w:val="Odsekzoznamu"/>
        <w:numPr>
          <w:ilvl w:val="0"/>
          <w:numId w:val="8"/>
        </w:numPr>
        <w:pBdr>
          <w:bottom w:val="single" w:sz="4" w:space="1" w:color="auto"/>
        </w:pBdr>
        <w:jc w:val="both"/>
        <w:rPr>
          <w:b/>
          <w:color w:val="00B050"/>
        </w:rPr>
      </w:pPr>
      <w:r>
        <w:rPr>
          <w:b/>
          <w:color w:val="00B050"/>
        </w:rPr>
        <w:t>Oznámenie hromadnej zmeny zmluvy o poskytnutí NFP</w:t>
      </w:r>
    </w:p>
    <w:p w14:paraId="19902D1D" w14:textId="53AED7D0" w:rsidR="000B7541" w:rsidRPr="00D4622B" w:rsidRDefault="000B7541" w:rsidP="000B7541">
      <w:pPr>
        <w:jc w:val="both"/>
      </w:pPr>
      <w:r>
        <w:t>Nižšie uvedené body (B.1</w:t>
      </w:r>
      <w:r w:rsidR="00FA471A">
        <w:t xml:space="preserve"> </w:t>
      </w:r>
      <w:r>
        <w:t xml:space="preserve">– B.4) aplikácie </w:t>
      </w:r>
      <w:r w:rsidR="00D4622B">
        <w:t xml:space="preserve">iniciatívnej </w:t>
      </w:r>
      <w:r>
        <w:t xml:space="preserve">výnimky MF SR zo SFR sú viazané na Oznámenie hromadnej zmeny zmluvy o poskytnutí NFP. PM oznámi prijímateľovi hromadnú zmenu zmluvy o poskytnutí NFP </w:t>
      </w:r>
      <w:r w:rsidR="00D4622B">
        <w:t>na e-mailovú adresu, určenú prijímateľom</w:t>
      </w:r>
      <w:r>
        <w:t xml:space="preserve">. Ak prijímateľ nesúhlasí s hromadnou zmenou zmluvy o poskytnutí NFP, podľa </w:t>
      </w:r>
      <w:r>
        <w:rPr>
          <w:rFonts w:cstheme="minorHAnsi"/>
        </w:rPr>
        <w:t>§</w:t>
      </w:r>
      <w:r>
        <w:t xml:space="preserve"> 59 ods. 2 zákona o príspevku EŠIF môže odstúpiť od zmluvy o poskytnutí NFP, a to </w:t>
      </w:r>
      <w:r w:rsidR="00D4622B" w:rsidRPr="00D4622B">
        <w:t>do 10 pracovných dní od doručenia Oznámenia hromadnej zmeny zmluvy o poskytnutí NFP, ktorým je jeho odoslanie na e-mailovú adresu, určenú prijímateľom.</w:t>
      </w:r>
    </w:p>
    <w:p w14:paraId="4B1F7DBD" w14:textId="77777777" w:rsidR="000B7541" w:rsidRDefault="000B7541" w:rsidP="000B7541">
      <w:pPr>
        <w:jc w:val="both"/>
      </w:pPr>
    </w:p>
    <w:p w14:paraId="12278B16" w14:textId="77777777" w:rsidR="000B7541" w:rsidRPr="00480CAF" w:rsidRDefault="000B7541" w:rsidP="000B7541">
      <w:pPr>
        <w:jc w:val="both"/>
      </w:pPr>
      <w:r w:rsidRPr="00480CAF">
        <w:rPr>
          <w:b/>
        </w:rPr>
        <w:t xml:space="preserve">Aplikácia: </w:t>
      </w:r>
      <w:r w:rsidRPr="00480CAF">
        <w:t>všetky výzvy.</w:t>
      </w:r>
    </w:p>
    <w:p w14:paraId="120F9327" w14:textId="77777777" w:rsidR="000B7541" w:rsidRDefault="000B7541" w:rsidP="000B7541">
      <w:pPr>
        <w:jc w:val="both"/>
      </w:pPr>
    </w:p>
    <w:p w14:paraId="7A8CEF92" w14:textId="77777777" w:rsidR="000B7541" w:rsidRDefault="000B7541" w:rsidP="000B7541">
      <w:pPr>
        <w:jc w:val="both"/>
      </w:pPr>
      <w:r w:rsidRPr="00480CAF">
        <w:rPr>
          <w:b/>
        </w:rPr>
        <w:t>Dopad:</w:t>
      </w:r>
      <w:r w:rsidRPr="0094662B">
        <w:t xml:space="preserve"> Oznámen</w:t>
      </w:r>
      <w:r>
        <w:t xml:space="preserve">ím </w:t>
      </w:r>
      <w:r w:rsidRPr="0094662B">
        <w:t>hromadnej zmeny zmluvy o poskytnutí NFP</w:t>
      </w:r>
      <w:r>
        <w:t xml:space="preserve"> sa zrealizuje plošná aktualizácia Všeobecných zmluvných podmienok zmluvy o poskytnut</w:t>
      </w:r>
      <w:r w:rsidRPr="0094662B">
        <w:t>í NFP (v časti článkov 10, 11, 15, 16, 17a, 17b, 17c</w:t>
      </w:r>
      <w:r>
        <w:t xml:space="preserve"> (neaplikuje sa)</w:t>
      </w:r>
      <w:r w:rsidRPr="0094662B">
        <w:t>, 18 a 20).</w:t>
      </w:r>
    </w:p>
    <w:p w14:paraId="5AD37923" w14:textId="77777777" w:rsidR="000A0CD1" w:rsidRPr="00D70CA8" w:rsidRDefault="000A0CD1" w:rsidP="000B7541">
      <w:pPr>
        <w:jc w:val="both"/>
      </w:pPr>
    </w:p>
    <w:p w14:paraId="0BCF9AEB" w14:textId="77777777" w:rsidR="000B7541" w:rsidRPr="00480CAF" w:rsidRDefault="000B7541" w:rsidP="000B7541">
      <w:pPr>
        <w:jc w:val="both"/>
      </w:pPr>
      <w:r w:rsidRPr="00480CAF">
        <w:rPr>
          <w:b/>
        </w:rPr>
        <w:t>Postup prijímateľa:</w:t>
      </w:r>
    </w:p>
    <w:p w14:paraId="3676EBFC" w14:textId="77777777" w:rsidR="000B7541" w:rsidRDefault="000B7541" w:rsidP="000B7541">
      <w:pPr>
        <w:jc w:val="both"/>
      </w:pPr>
      <w:r w:rsidRPr="00480CAF">
        <w:t>Bez potreby i</w:t>
      </w:r>
      <w:r>
        <w:t>niciatívy zo strany prijímateľa.</w:t>
      </w:r>
    </w:p>
    <w:p w14:paraId="60AAB62A" w14:textId="77777777" w:rsidR="000B7541" w:rsidRPr="00CF47B3" w:rsidRDefault="000B7541" w:rsidP="000B7541">
      <w:pPr>
        <w:pStyle w:val="Odsekzoznamu"/>
        <w:pBdr>
          <w:bottom w:val="single" w:sz="4" w:space="1" w:color="auto"/>
        </w:pBdr>
        <w:jc w:val="both"/>
        <w:rPr>
          <w:b/>
          <w:color w:val="00B050"/>
        </w:rPr>
      </w:pPr>
      <w:r>
        <w:rPr>
          <w:b/>
          <w:color w:val="00B050"/>
        </w:rPr>
        <w:lastRenderedPageBreak/>
        <w:t xml:space="preserve">B.1 </w:t>
      </w:r>
      <w:r w:rsidRPr="00CF47B3">
        <w:rPr>
          <w:b/>
          <w:color w:val="00B050"/>
        </w:rPr>
        <w:t>Spôsob predloženia žiadosti o platbu (ŽoP)</w:t>
      </w:r>
    </w:p>
    <w:p w14:paraId="101B5CCD" w14:textId="1F025E0A" w:rsidR="000B7541" w:rsidRDefault="000B7541" w:rsidP="000B7541">
      <w:pPr>
        <w:jc w:val="both"/>
      </w:pPr>
      <w:r>
        <w:rPr>
          <w:b/>
        </w:rPr>
        <w:t>Alternatívy p</w:t>
      </w:r>
      <w:r w:rsidRPr="00D50FD2">
        <w:rPr>
          <w:b/>
        </w:rPr>
        <w:t>redloženi</w:t>
      </w:r>
      <w:r>
        <w:rPr>
          <w:b/>
        </w:rPr>
        <w:t>a</w:t>
      </w:r>
      <w:r w:rsidRPr="00D50FD2">
        <w:rPr>
          <w:b/>
        </w:rPr>
        <w:t xml:space="preserve"> ŽoP v listinnej (písomnej) </w:t>
      </w:r>
      <w:r>
        <w:rPr>
          <w:b/>
        </w:rPr>
        <w:t xml:space="preserve">alebo </w:t>
      </w:r>
      <w:r w:rsidR="00D4622B">
        <w:rPr>
          <w:b/>
        </w:rPr>
        <w:t>elektronickej</w:t>
      </w:r>
      <w:r>
        <w:rPr>
          <w:b/>
        </w:rPr>
        <w:t xml:space="preserve"> </w:t>
      </w:r>
      <w:r w:rsidRPr="00D50FD2">
        <w:rPr>
          <w:b/>
        </w:rPr>
        <w:t>forme</w:t>
      </w:r>
      <w:r>
        <w:t xml:space="preserve"> sa upravujú nasledovne:</w:t>
      </w:r>
    </w:p>
    <w:p w14:paraId="04C3DB66" w14:textId="77777777" w:rsidR="000B7541" w:rsidRDefault="000B7541" w:rsidP="000B7541">
      <w:pPr>
        <w:pStyle w:val="Odsekzoznamu"/>
        <w:numPr>
          <w:ilvl w:val="0"/>
          <w:numId w:val="6"/>
        </w:numPr>
        <w:jc w:val="both"/>
      </w:pPr>
      <w:r>
        <w:t>listinne (osobne alebo prostredníctvom poštovej prepravy) alebo</w:t>
      </w:r>
    </w:p>
    <w:p w14:paraId="68C490FF" w14:textId="77777777" w:rsidR="000B7541" w:rsidRDefault="000B7541" w:rsidP="000B7541">
      <w:pPr>
        <w:pStyle w:val="Odsekzoznamu"/>
        <w:numPr>
          <w:ilvl w:val="0"/>
          <w:numId w:val="6"/>
        </w:numPr>
        <w:jc w:val="both"/>
      </w:pPr>
      <w:r>
        <w:t>elektronicky prostredníctvom Ústredného portálu verejnej správy, podpísanú elektronickým podpisom, kvalifikovaným elektronickým podpisom s mandátnym certifikátom alebo kvalifikovanou elektronickou pečaťou (ďalej len „ÚPVS“) alebo</w:t>
      </w:r>
    </w:p>
    <w:p w14:paraId="57FB88A3" w14:textId="77777777" w:rsidR="000B7541" w:rsidRDefault="000B7541" w:rsidP="000B7541">
      <w:pPr>
        <w:pStyle w:val="Odsekzoznamu"/>
        <w:numPr>
          <w:ilvl w:val="0"/>
          <w:numId w:val="6"/>
        </w:numPr>
        <w:jc w:val="both"/>
      </w:pPr>
      <w:r>
        <w:t>emailom (scan podpísaného formulára ŽoP) alebo</w:t>
      </w:r>
    </w:p>
    <w:p w14:paraId="67B5B4AC" w14:textId="77777777" w:rsidR="000B7541" w:rsidRDefault="000B7541" w:rsidP="000B7541">
      <w:pPr>
        <w:pStyle w:val="Odsekzoznamu"/>
        <w:numPr>
          <w:ilvl w:val="0"/>
          <w:numId w:val="6"/>
        </w:numPr>
        <w:jc w:val="both"/>
      </w:pPr>
      <w:r>
        <w:t>v opodstatnených prípadoch emailom (nepodpísaný formulár ŽoP).</w:t>
      </w:r>
    </w:p>
    <w:p w14:paraId="40E1140F" w14:textId="6CED1197" w:rsidR="000B7541" w:rsidRPr="00D5221E" w:rsidRDefault="00861FCD" w:rsidP="000B7541">
      <w:pPr>
        <w:pStyle w:val="Odsekzoznamu"/>
        <w:jc w:val="both"/>
        <w:rPr>
          <w:b/>
        </w:rPr>
      </w:pPr>
      <w:r>
        <w:rPr>
          <w:b/>
        </w:rPr>
        <w:t>Poznámka:</w:t>
      </w:r>
    </w:p>
    <w:p w14:paraId="15CB5AAB" w14:textId="77777777" w:rsidR="000B7541" w:rsidRDefault="000B7541" w:rsidP="000B7541">
      <w:pPr>
        <w:pStyle w:val="Odsekzoznamu"/>
        <w:jc w:val="both"/>
      </w:pPr>
      <w:r>
        <w:rPr>
          <w:u w:val="single"/>
        </w:rPr>
        <w:t>P</w:t>
      </w:r>
      <w:r w:rsidRPr="00A22BBC">
        <w:rPr>
          <w:u w:val="single"/>
        </w:rPr>
        <w:t xml:space="preserve">redkladanie </w:t>
      </w:r>
      <w:r>
        <w:rPr>
          <w:u w:val="single"/>
        </w:rPr>
        <w:t xml:space="preserve">formuláru </w:t>
      </w:r>
      <w:r w:rsidRPr="00A22BBC">
        <w:rPr>
          <w:u w:val="single"/>
        </w:rPr>
        <w:t>ŽoP bez podpisu štatutárneho orgánu prijímateľa</w:t>
      </w:r>
      <w:r w:rsidRPr="00D5221E">
        <w:t xml:space="preserve"> </w:t>
      </w:r>
      <w:r>
        <w:t xml:space="preserve">je možné </w:t>
      </w:r>
      <w:r w:rsidRPr="00A22BBC">
        <w:rPr>
          <w:u w:val="single"/>
        </w:rPr>
        <w:t>výhradne za okolností priamo súvisiacich s COVID-19</w:t>
      </w:r>
      <w:r>
        <w:t xml:space="preserve"> (napr. domáca karanténa, karanténa v štátnom zariadení, hospitalizácia suspektného, hospitalizácia chorého), pričom prijímateľ dokladuje uvedenú skutočnosť prostredníctvom </w:t>
      </w:r>
      <w:r w:rsidRPr="00D5221E">
        <w:rPr>
          <w:b/>
          <w:i/>
        </w:rPr>
        <w:t>Potvrdenia o dočasnej pracovnej neschopnosti</w:t>
      </w:r>
      <w:r>
        <w:t>.</w:t>
      </w:r>
    </w:p>
    <w:p w14:paraId="35621615" w14:textId="77777777" w:rsidR="000B7541" w:rsidRPr="006B4468" w:rsidRDefault="000B7541" w:rsidP="000B7541">
      <w:pPr>
        <w:jc w:val="both"/>
      </w:pPr>
      <w:r w:rsidRPr="006B4468">
        <w:t xml:space="preserve">Nakoľko platnosť iniciatívnej výnimky MF SR zo SFR </w:t>
      </w:r>
      <w:r>
        <w:t>je do 31.12.2020, rozhodujúci je dátum predloženia ŽoP na IA MPSVR SR.</w:t>
      </w:r>
    </w:p>
    <w:p w14:paraId="0EF5F3CE" w14:textId="77777777" w:rsidR="000B7541" w:rsidRPr="00480CAF" w:rsidRDefault="000B7541" w:rsidP="000B7541">
      <w:pPr>
        <w:jc w:val="both"/>
        <w:rPr>
          <w:b/>
        </w:rPr>
      </w:pPr>
      <w:r w:rsidRPr="00480CAF">
        <w:rPr>
          <w:b/>
        </w:rPr>
        <w:t>Povinnosť predloženia ŽoP aj v ITMS2014+ nie je uvedenou úpravou dotknutá.</w:t>
      </w:r>
    </w:p>
    <w:p w14:paraId="0C96E6F4" w14:textId="77777777" w:rsidR="000B7541" w:rsidRDefault="000B7541" w:rsidP="000B7541">
      <w:pPr>
        <w:jc w:val="both"/>
      </w:pPr>
    </w:p>
    <w:p w14:paraId="1426CC33" w14:textId="77777777" w:rsidR="000B7541" w:rsidRPr="00D50FD2" w:rsidRDefault="000B7541" w:rsidP="000B7541">
      <w:pPr>
        <w:jc w:val="both"/>
      </w:pPr>
      <w:r w:rsidRPr="00D50FD2">
        <w:rPr>
          <w:b/>
        </w:rPr>
        <w:t xml:space="preserve">Aplikácia: </w:t>
      </w:r>
      <w:r>
        <w:t>všetky výzvy.</w:t>
      </w:r>
    </w:p>
    <w:p w14:paraId="2F7484CA" w14:textId="77777777" w:rsidR="000B7541" w:rsidRDefault="000B7541" w:rsidP="000B7541">
      <w:pPr>
        <w:jc w:val="both"/>
        <w:rPr>
          <w:b/>
        </w:rPr>
      </w:pPr>
    </w:p>
    <w:p w14:paraId="2416FF11" w14:textId="43047EFB" w:rsidR="000B7541" w:rsidRDefault="000B7541" w:rsidP="000B7541">
      <w:pPr>
        <w:jc w:val="both"/>
      </w:pPr>
      <w:r w:rsidRPr="002B07F4">
        <w:t>Dopad</w:t>
      </w:r>
      <w:r w:rsidRPr="00D50FD2">
        <w:rPr>
          <w:b/>
        </w:rPr>
        <w:t xml:space="preserve">: </w:t>
      </w:r>
      <w:r>
        <w:t>Prijímateľ, ktorého štatutárny orgán nemôže z dôvodu okolností priamo súvisiacich s COVID-19 predložiť formulár ŽoP listinne alebo prostredníctvom ÚPVS, príp. emailom s podpísaným scanom</w:t>
      </w:r>
      <w:r w:rsidR="00D4622B">
        <w:t>,</w:t>
      </w:r>
      <w:r>
        <w:t xml:space="preserve"> môže tak učiniť emailom form</w:t>
      </w:r>
      <w:r w:rsidR="00861FCD">
        <w:t>ou nepodpísaného formuláru ŽoP.</w:t>
      </w:r>
    </w:p>
    <w:p w14:paraId="2144062B" w14:textId="77777777" w:rsidR="000B7541" w:rsidRDefault="000B7541" w:rsidP="000B7541">
      <w:pPr>
        <w:jc w:val="both"/>
      </w:pPr>
    </w:p>
    <w:p w14:paraId="49AD750A" w14:textId="77777777" w:rsidR="000B7541" w:rsidRPr="00D50FD2" w:rsidRDefault="000B7541" w:rsidP="000B7541">
      <w:pPr>
        <w:jc w:val="both"/>
      </w:pPr>
      <w:r w:rsidRPr="00D50FD2">
        <w:rPr>
          <w:b/>
        </w:rPr>
        <w:t>Postup prijímateľa:</w:t>
      </w:r>
    </w:p>
    <w:p w14:paraId="1E6FDD2C" w14:textId="64C22DD9" w:rsidR="000B7541" w:rsidRPr="00480CAF" w:rsidRDefault="000B7541" w:rsidP="000B7541">
      <w:pPr>
        <w:jc w:val="both"/>
      </w:pPr>
      <w:r w:rsidRPr="00480CAF">
        <w:rPr>
          <w:b/>
        </w:rPr>
        <w:t>Štatutárny orgán prijímateľa</w:t>
      </w:r>
      <w:r w:rsidRPr="00480CAF">
        <w:t xml:space="preserve">, ktorý </w:t>
      </w:r>
      <w:r w:rsidRPr="00480CAF">
        <w:rPr>
          <w:b/>
        </w:rPr>
        <w:t>z opodstatneného dôvodu nemôže predložiť formulár ŽoP</w:t>
      </w:r>
      <w:r>
        <w:rPr>
          <w:b/>
        </w:rPr>
        <w:t xml:space="preserve"> </w:t>
      </w:r>
      <w:r w:rsidRPr="00480CAF">
        <w:t>listinne</w:t>
      </w:r>
      <w:r>
        <w:t xml:space="preserve"> </w:t>
      </w:r>
      <w:r w:rsidRPr="00480CAF">
        <w:t>alebo prostredníctvom ÚPVS, príp. emailom s podpísaným scanom,</w:t>
      </w:r>
      <w:r>
        <w:t xml:space="preserve"> </w:t>
      </w:r>
      <w:r w:rsidRPr="00480CAF">
        <w:rPr>
          <w:b/>
        </w:rPr>
        <w:t>nastaví zmenu formy predkladania ŽoP, t.j. bez podpisu štatutárneho orgánu</w:t>
      </w:r>
      <w:r w:rsidRPr="00480CAF">
        <w:t xml:space="preserve">, odoslaním emailu z emailovej adresy, ktorú prijímateľ oznámil IA MPSVR SR v zmysle ods. 4.7 písm. a) Zmluvy o poskytnutí NFP), v rámci ktorého vyjadrí </w:t>
      </w:r>
      <w:r w:rsidRPr="00480CAF">
        <w:rPr>
          <w:b/>
          <w:i/>
        </w:rPr>
        <w:t>„schválenie predkladania ŽoP v listinnej (písomnej) forme prostredníctvom nepodpísaného formuláru žiadosti o platbu, a to až do odvolania schválenia“</w:t>
      </w:r>
      <w:r w:rsidR="00861FCD">
        <w:t>.</w:t>
      </w:r>
    </w:p>
    <w:p w14:paraId="4484A0F9" w14:textId="77777777" w:rsidR="000B7541" w:rsidRDefault="000B7541" w:rsidP="000B7541">
      <w:pPr>
        <w:jc w:val="both"/>
      </w:pPr>
    </w:p>
    <w:p w14:paraId="2F204EF1" w14:textId="77777777" w:rsidR="000B7541" w:rsidRPr="00C939C8" w:rsidRDefault="000B7541" w:rsidP="000B7541">
      <w:pPr>
        <w:pStyle w:val="Odsekzoznamu"/>
        <w:pBdr>
          <w:bottom w:val="single" w:sz="4" w:space="1" w:color="auto"/>
        </w:pBdr>
        <w:jc w:val="both"/>
        <w:rPr>
          <w:b/>
          <w:color w:val="00B050"/>
        </w:rPr>
      </w:pPr>
      <w:r>
        <w:rPr>
          <w:b/>
          <w:color w:val="00B050"/>
        </w:rPr>
        <w:t xml:space="preserve">B.2 </w:t>
      </w:r>
      <w:r w:rsidRPr="00C939C8">
        <w:rPr>
          <w:b/>
          <w:color w:val="00B050"/>
        </w:rPr>
        <w:t>Zmena pravidiel pre výpočet maximálnej výšky zálohovej platby</w:t>
      </w:r>
    </w:p>
    <w:p w14:paraId="05814F44" w14:textId="71BBEE47" w:rsidR="000B7541" w:rsidRPr="00480CAF" w:rsidRDefault="000B7541" w:rsidP="000B7541">
      <w:pPr>
        <w:jc w:val="both"/>
      </w:pPr>
      <w:r w:rsidRPr="00480CAF">
        <w:t xml:space="preserve">Zmena pravidiel výpočtu maximálnej výšky zálohovej platby, </w:t>
      </w:r>
      <w:r w:rsidR="00861FCD">
        <w:t>a to podľa nasledovného vzorca: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09"/>
        <w:gridCol w:w="6161"/>
      </w:tblGrid>
      <w:tr w:rsidR="000B7541" w:rsidRPr="00480CAF" w14:paraId="7ADA933E" w14:textId="77777777" w:rsidTr="00D51AD6">
        <w:tc>
          <w:tcPr>
            <w:tcW w:w="2943" w:type="dxa"/>
            <w:shd w:val="clear" w:color="auto" w:fill="EAF1DD" w:themeFill="accent3" w:themeFillTint="33"/>
          </w:tcPr>
          <w:p w14:paraId="4CCAA3C4" w14:textId="27F17C55" w:rsidR="000B7541" w:rsidRPr="00480CAF" w:rsidRDefault="00861FCD" w:rsidP="00D51AD6">
            <w:pPr>
              <w:rPr>
                <w:b/>
              </w:rPr>
            </w:pPr>
            <w:r>
              <w:rPr>
                <w:b/>
              </w:rPr>
              <w:t>maximálna výška</w:t>
            </w:r>
          </w:p>
          <w:p w14:paraId="14F97BA9" w14:textId="77777777" w:rsidR="000B7541" w:rsidRPr="00480CAF" w:rsidRDefault="000B7541" w:rsidP="00D51AD6">
            <w:pPr>
              <w:rPr>
                <w:b/>
              </w:rPr>
            </w:pPr>
            <w:r w:rsidRPr="00480CAF">
              <w:rPr>
                <w:b/>
              </w:rPr>
              <w:t>poskytnutej zálohovej platby</w:t>
            </w:r>
          </w:p>
        </w:tc>
        <w:tc>
          <w:tcPr>
            <w:tcW w:w="6269" w:type="dxa"/>
            <w:shd w:val="clear" w:color="auto" w:fill="EAF1DD" w:themeFill="accent3" w:themeFillTint="33"/>
          </w:tcPr>
          <w:p w14:paraId="4209B39F" w14:textId="77777777" w:rsidR="000B7541" w:rsidRPr="00480CAF" w:rsidRDefault="000B7541" w:rsidP="00D51AD6">
            <w:pPr>
              <w:jc w:val="both"/>
              <w:rPr>
                <w:b/>
              </w:rPr>
            </w:pPr>
          </w:p>
          <w:p w14:paraId="093CC191" w14:textId="77777777" w:rsidR="000B7541" w:rsidRPr="00480CAF" w:rsidRDefault="000B7541" w:rsidP="00D51AD6">
            <w:pPr>
              <w:jc w:val="both"/>
              <w:rPr>
                <w:b/>
              </w:rPr>
            </w:pPr>
            <w:r w:rsidRPr="00480CAF">
              <w:rPr>
                <w:b/>
              </w:rPr>
              <w:t xml:space="preserve">= 0,4 * (suma NFP – vyčerpaná suma NFP (zdroj EÚ a ŠR)) </w:t>
            </w:r>
          </w:p>
        </w:tc>
      </w:tr>
    </w:tbl>
    <w:p w14:paraId="2E4F9AE0" w14:textId="0EDDE464" w:rsidR="000B7541" w:rsidRPr="009F49AA" w:rsidRDefault="00861FCD" w:rsidP="000B7541">
      <w:pPr>
        <w:jc w:val="both"/>
        <w:rPr>
          <w:sz w:val="18"/>
          <w:szCs w:val="18"/>
        </w:rPr>
      </w:pPr>
      <w:r>
        <w:rPr>
          <w:sz w:val="18"/>
          <w:szCs w:val="18"/>
        </w:rPr>
        <w:t>Poznámka:</w:t>
      </w:r>
    </w:p>
    <w:p w14:paraId="3EF545D6" w14:textId="77777777" w:rsidR="000B7541" w:rsidRPr="009F49AA" w:rsidRDefault="000B7541" w:rsidP="000B7541">
      <w:pPr>
        <w:jc w:val="both"/>
        <w:rPr>
          <w:sz w:val="18"/>
          <w:szCs w:val="18"/>
        </w:rPr>
      </w:pPr>
      <w:r w:rsidRPr="009F49AA">
        <w:rPr>
          <w:sz w:val="18"/>
          <w:szCs w:val="18"/>
        </w:rPr>
        <w:t xml:space="preserve">O vyčerpanú sumu NFP sa maximálna výška prvej poskytnutej zálohovej platby znižuje, ak pred jej poskytnutím bola žiadosť o platbu (priebežná platba) schválená Certifikačným orgánom v súhrnnej žiadosti o platbu/ mimoriadnej súhrnne žiadosti o platbu. </w:t>
      </w:r>
    </w:p>
    <w:p w14:paraId="62850100" w14:textId="05C075FF" w:rsidR="000B7541" w:rsidRPr="00480CAF" w:rsidRDefault="000B7541" w:rsidP="000B7541">
      <w:pPr>
        <w:jc w:val="both"/>
      </w:pPr>
      <w:r w:rsidRPr="00480CAF">
        <w:rPr>
          <w:b/>
        </w:rPr>
        <w:t xml:space="preserve">Poskytnutie NFP v rozsahu maximálnej výšky zálohovej platby je v prípade už poskytnutých zálohových platieb viazané na </w:t>
      </w:r>
      <w:r>
        <w:rPr>
          <w:b/>
        </w:rPr>
        <w:t xml:space="preserve">iniciatívu, t.j. predloženie ŽoP </w:t>
      </w:r>
      <w:r w:rsidR="00861FCD">
        <w:rPr>
          <w:b/>
        </w:rPr>
        <w:t>zo strany prijímateľa.</w:t>
      </w:r>
    </w:p>
    <w:p w14:paraId="23844A2C" w14:textId="77777777" w:rsidR="000B7541" w:rsidRPr="00861FCD" w:rsidRDefault="000B7541" w:rsidP="000B7541">
      <w:pPr>
        <w:jc w:val="both"/>
      </w:pPr>
    </w:p>
    <w:p w14:paraId="251E466A" w14:textId="77777777" w:rsidR="000B7541" w:rsidRPr="00480CAF" w:rsidRDefault="000B7541" w:rsidP="000B7541">
      <w:pPr>
        <w:jc w:val="both"/>
      </w:pPr>
      <w:r w:rsidRPr="00480CAF">
        <w:rPr>
          <w:b/>
        </w:rPr>
        <w:t>POZOR!</w:t>
      </w:r>
    </w:p>
    <w:p w14:paraId="15800E7A" w14:textId="1BF1B801" w:rsidR="000B7541" w:rsidRPr="00480CAF" w:rsidRDefault="000B7541" w:rsidP="000B7541">
      <w:pPr>
        <w:pStyle w:val="Odsekzoznamu"/>
        <w:numPr>
          <w:ilvl w:val="0"/>
          <w:numId w:val="7"/>
        </w:numPr>
        <w:jc w:val="both"/>
      </w:pPr>
      <w:r w:rsidRPr="00480CAF">
        <w:t>Pri výpočte sa nezohľadňuje poče</w:t>
      </w:r>
      <w:r w:rsidR="00861FCD">
        <w:t>t mesiacov realizácie projektu.</w:t>
      </w:r>
    </w:p>
    <w:p w14:paraId="6CB81A1C" w14:textId="77777777" w:rsidR="000B7541" w:rsidRPr="00480CAF" w:rsidRDefault="000B7541" w:rsidP="000B7541">
      <w:pPr>
        <w:pStyle w:val="Odsekzoznamu"/>
        <w:numPr>
          <w:ilvl w:val="0"/>
          <w:numId w:val="7"/>
        </w:numPr>
        <w:jc w:val="both"/>
      </w:pPr>
      <w:r w:rsidRPr="00480CAF">
        <w:t xml:space="preserve">Maximálnu výšku zálohovej platby je potrebné prepočítať v prípade, ak dôjde </w:t>
      </w:r>
      <w:r>
        <w:t>k zníženiu celkovej výšky NFP.</w:t>
      </w:r>
    </w:p>
    <w:p w14:paraId="6DCEA26C" w14:textId="77777777" w:rsidR="000B7541" w:rsidRPr="00397870" w:rsidRDefault="000B7541" w:rsidP="000B7541">
      <w:pPr>
        <w:pStyle w:val="Odsekzoznamu"/>
        <w:numPr>
          <w:ilvl w:val="0"/>
          <w:numId w:val="7"/>
        </w:numPr>
        <w:jc w:val="both"/>
      </w:pPr>
      <w:r>
        <w:rPr>
          <w:rFonts w:ascii="Calibri" w:eastAsia="Times New Roman" w:hAnsi="Calibri" w:cs="Times New Roman"/>
          <w:color w:val="000000"/>
        </w:rPr>
        <w:t>Prijímateľ môže požiadať o ďalšiu zálohovú platbu najskôr súčasne s podaním žiadosti o platbu (zúčtovanie zálohovej platby). IA MPSVR SR zabezpečí poskytnutie platby na základe žiadosti o platbu (poskytnutie zálohovej platby) až po schválení predloženej žiadosti o platbu (zúčtovanie zálohovej platby) Certifikačným orgánom, ak nie je dohodnuté inak.</w:t>
      </w:r>
    </w:p>
    <w:p w14:paraId="2B3A0BFC" w14:textId="2B3E6D69" w:rsidR="000B7541" w:rsidRDefault="000B7541" w:rsidP="000B7541">
      <w:pPr>
        <w:jc w:val="both"/>
      </w:pPr>
    </w:p>
    <w:p w14:paraId="6CEA9B09" w14:textId="4181BBBF" w:rsidR="000B7541" w:rsidRPr="0082220C" w:rsidRDefault="000B7541" w:rsidP="000B7541">
      <w:pPr>
        <w:jc w:val="both"/>
      </w:pPr>
      <w:r>
        <w:rPr>
          <w:b/>
        </w:rPr>
        <w:t>Aplikácia:</w:t>
      </w:r>
      <w:r w:rsidR="00861FCD">
        <w:t xml:space="preserve"> všetky výzvy</w:t>
      </w:r>
      <w:r w:rsidR="00A158C1" w:rsidRPr="002B07F4">
        <w:rPr>
          <w:color w:val="FF0000"/>
        </w:rPr>
        <w:t>, ak nie je stanovený výpočet inou výnimkou inak</w:t>
      </w:r>
      <w:r w:rsidR="00861FCD">
        <w:t>.</w:t>
      </w:r>
    </w:p>
    <w:p w14:paraId="7F4A95F6" w14:textId="77777777" w:rsidR="000B7541" w:rsidRDefault="000B7541" w:rsidP="000B7541">
      <w:pPr>
        <w:jc w:val="both"/>
      </w:pPr>
    </w:p>
    <w:p w14:paraId="6B67FB92" w14:textId="77777777" w:rsidR="000B7541" w:rsidRPr="0082220C" w:rsidRDefault="000B7541" w:rsidP="000B7541">
      <w:pPr>
        <w:jc w:val="both"/>
        <w:rPr>
          <w:b/>
        </w:rPr>
      </w:pPr>
      <w:r w:rsidRPr="0082220C">
        <w:rPr>
          <w:b/>
        </w:rPr>
        <w:lastRenderedPageBreak/>
        <w:t>Postup prijímateľa:</w:t>
      </w:r>
    </w:p>
    <w:p w14:paraId="0F2AFDF6" w14:textId="1E850F2F" w:rsidR="000B7541" w:rsidRDefault="000B7541" w:rsidP="000B7541">
      <w:pPr>
        <w:jc w:val="both"/>
      </w:pPr>
      <w:r>
        <w:t xml:space="preserve">Prijímateľ môže predložiť ŽoP pre poskytnutie zálohovej platby v zmysle vyššie uvedeného vzorca v nadväznosti na doručenie Oznámenia </w:t>
      </w:r>
      <w:r w:rsidR="009F49AA">
        <w:t xml:space="preserve">hromadnej </w:t>
      </w:r>
      <w:r>
        <w:t>zmeny zmluvy o poskytnutí NFP.</w:t>
      </w:r>
    </w:p>
    <w:p w14:paraId="19E37902" w14:textId="77777777" w:rsidR="002B07F4" w:rsidRDefault="002B07F4" w:rsidP="000B7541">
      <w:pPr>
        <w:jc w:val="both"/>
      </w:pPr>
    </w:p>
    <w:p w14:paraId="6FC5DF57" w14:textId="60849F6D" w:rsidR="00117BF0" w:rsidRDefault="00117BF0" w:rsidP="00117BF0">
      <w:pPr>
        <w:jc w:val="both"/>
        <w:rPr>
          <w:b/>
          <w:color w:val="FF0000"/>
        </w:rPr>
      </w:pPr>
      <w:r w:rsidRPr="002965C4">
        <w:rPr>
          <w:b/>
          <w:color w:val="FF0000"/>
        </w:rPr>
        <w:t>Dôležité upozornenie:</w:t>
      </w:r>
    </w:p>
    <w:p w14:paraId="1AE82F7D" w14:textId="4785A0CC" w:rsidR="00875A13" w:rsidRDefault="00117BF0" w:rsidP="00875A13">
      <w:pPr>
        <w:jc w:val="both"/>
        <w:rPr>
          <w:color w:val="FF0000"/>
        </w:rPr>
      </w:pPr>
      <w:r w:rsidRPr="00875A13">
        <w:rPr>
          <w:b/>
          <w:color w:val="FF0000"/>
        </w:rPr>
        <w:t>Pri výpočte maximálnej výšky zálohovej platby sa nezohľadňujú už vyčerpané prostriedky</w:t>
      </w:r>
      <w:r w:rsidR="00875A13" w:rsidRPr="00875A13">
        <w:rPr>
          <w:b/>
          <w:color w:val="FF0000"/>
        </w:rPr>
        <w:t xml:space="preserve">, t. j </w:t>
      </w:r>
      <w:r w:rsidRPr="00875A13">
        <w:rPr>
          <w:b/>
          <w:color w:val="FF0000"/>
        </w:rPr>
        <w:t xml:space="preserve">. </w:t>
      </w:r>
      <w:r w:rsidR="00875A13" w:rsidRPr="00875A13">
        <w:rPr>
          <w:b/>
          <w:color w:val="FF0000"/>
        </w:rPr>
        <w:t>p</w:t>
      </w:r>
      <w:r w:rsidRPr="00875A13">
        <w:rPr>
          <w:b/>
          <w:color w:val="FF0000"/>
        </w:rPr>
        <w:t xml:space="preserve">ostupuje sa </w:t>
      </w:r>
      <w:r w:rsidRPr="00875A13">
        <w:rPr>
          <w:b/>
          <w:color w:val="FF0000"/>
          <w:u w:val="single"/>
        </w:rPr>
        <w:t>podľa vzorca ako pre výpočet prvej zálohovej platby</w:t>
      </w:r>
      <w:r w:rsidR="00875A13" w:rsidRPr="00875A13">
        <w:rPr>
          <w:b/>
          <w:color w:val="FF0000"/>
        </w:rPr>
        <w:t xml:space="preserve"> </w:t>
      </w:r>
      <w:r w:rsidR="00875A13" w:rsidRPr="00875A13">
        <w:rPr>
          <w:b/>
          <w:color w:val="FF0000"/>
          <w:u w:val="single"/>
        </w:rPr>
        <w:t>a</w:t>
      </w:r>
      <w:r w:rsidR="00875A13">
        <w:rPr>
          <w:b/>
          <w:color w:val="FF0000"/>
          <w:u w:val="single"/>
        </w:rPr>
        <w:t> nezohľadňujú sa už vyčerpané prostriedky po prvej zálohovej platbe</w:t>
      </w:r>
      <w:r w:rsidR="00875A13" w:rsidRPr="002965C4">
        <w:rPr>
          <w:color w:val="FF0000"/>
        </w:rPr>
        <w:t xml:space="preserve">, </w:t>
      </w:r>
      <w:r w:rsidR="00875A13">
        <w:rPr>
          <w:color w:val="FF0000"/>
        </w:rPr>
        <w:t>a to aj v prípadoch, kde už bola poskytnutá prvá zálohová platba. Uvedený postup predstavuje</w:t>
      </w:r>
      <w:r w:rsidRPr="002965C4">
        <w:rPr>
          <w:color w:val="FF0000"/>
        </w:rPr>
        <w:t xml:space="preserve"> zmenu </w:t>
      </w:r>
      <w:r w:rsidR="00875A13">
        <w:rPr>
          <w:color w:val="FF0000"/>
        </w:rPr>
        <w:t>metodického prístupu k</w:t>
      </w:r>
      <w:r w:rsidRPr="002965C4">
        <w:rPr>
          <w:color w:val="FF0000"/>
        </w:rPr>
        <w:t xml:space="preserve"> výpočt</w:t>
      </w:r>
      <w:r w:rsidR="00875A13">
        <w:rPr>
          <w:color w:val="FF0000"/>
        </w:rPr>
        <w:t>u</w:t>
      </w:r>
      <w:r w:rsidRPr="002965C4">
        <w:rPr>
          <w:color w:val="FF0000"/>
        </w:rPr>
        <w:t xml:space="preserve"> maximálnej výšky zálohovej platby</w:t>
      </w:r>
      <w:r w:rsidR="00875A13">
        <w:rPr>
          <w:color w:val="FF0000"/>
        </w:rPr>
        <w:t xml:space="preserve">, nie zmenu vstupných parametrov na projekte. Základným dôvodom pre zmenu vo výške maximálnej </w:t>
      </w:r>
      <w:r w:rsidR="00875A13" w:rsidRPr="002965C4">
        <w:rPr>
          <w:color w:val="FF0000"/>
        </w:rPr>
        <w:t>výšky zálohovej platby je</w:t>
      </w:r>
      <w:r w:rsidR="00875A13">
        <w:rPr>
          <w:color w:val="FF0000"/>
        </w:rPr>
        <w:t>:</w:t>
      </w:r>
    </w:p>
    <w:p w14:paraId="4651FC35" w14:textId="27CD0F5A" w:rsidR="00875A13" w:rsidRDefault="00117BF0" w:rsidP="00875A13">
      <w:pPr>
        <w:pStyle w:val="Odsekzoznamu"/>
        <w:numPr>
          <w:ilvl w:val="0"/>
          <w:numId w:val="10"/>
        </w:numPr>
        <w:jc w:val="both"/>
        <w:rPr>
          <w:color w:val="FF0000"/>
        </w:rPr>
      </w:pPr>
      <w:r w:rsidRPr="002965C4">
        <w:rPr>
          <w:color w:val="FF0000"/>
        </w:rPr>
        <w:t>je zvýšenie sumy finančných prostriedkov, kto</w:t>
      </w:r>
      <w:r w:rsidR="002B07F4">
        <w:rPr>
          <w:color w:val="FF0000"/>
        </w:rPr>
        <w:t>rými môže prijímateľ disponovať</w:t>
      </w:r>
    </w:p>
    <w:p w14:paraId="3E4411D5" w14:textId="0BC632A6" w:rsidR="00875A13" w:rsidRPr="00875A13" w:rsidRDefault="00875A13" w:rsidP="00875A13">
      <w:pPr>
        <w:pStyle w:val="Odsekzoznamu"/>
        <w:numPr>
          <w:ilvl w:val="0"/>
          <w:numId w:val="10"/>
        </w:numPr>
        <w:jc w:val="both"/>
        <w:rPr>
          <w:color w:val="FF0000"/>
        </w:rPr>
      </w:pPr>
      <w:r>
        <w:rPr>
          <w:color w:val="FF0000"/>
        </w:rPr>
        <w:t>predĺženie lehoty na zúčtovanie zálohovej platby</w:t>
      </w:r>
    </w:p>
    <w:p w14:paraId="1515F283" w14:textId="690D3198" w:rsidR="00117BF0" w:rsidRPr="00875A13" w:rsidRDefault="00117BF0" w:rsidP="00875A13">
      <w:pPr>
        <w:pStyle w:val="Odsekzoznamu"/>
        <w:numPr>
          <w:ilvl w:val="0"/>
          <w:numId w:val="10"/>
        </w:numPr>
        <w:jc w:val="both"/>
        <w:rPr>
          <w:color w:val="FF0000"/>
        </w:rPr>
      </w:pPr>
      <w:r w:rsidRPr="00875A13">
        <w:rPr>
          <w:color w:val="FF0000"/>
        </w:rPr>
        <w:t>zníženie administratívnej záťaže prijímateľov.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630"/>
        <w:gridCol w:w="6440"/>
      </w:tblGrid>
      <w:tr w:rsidR="00117BF0" w:rsidRPr="00480CAF" w14:paraId="0954C22E" w14:textId="77777777" w:rsidTr="005B7CFC">
        <w:trPr>
          <w:trHeight w:val="869"/>
        </w:trPr>
        <w:tc>
          <w:tcPr>
            <w:tcW w:w="2943" w:type="dxa"/>
            <w:shd w:val="clear" w:color="auto" w:fill="FDE9D9" w:themeFill="accent6" w:themeFillTint="33"/>
          </w:tcPr>
          <w:p w14:paraId="06054045" w14:textId="77777777" w:rsidR="00117BF0" w:rsidRPr="00480CAF" w:rsidRDefault="00117BF0" w:rsidP="005B7CFC">
            <w:pPr>
              <w:rPr>
                <w:b/>
              </w:rPr>
            </w:pPr>
            <w:r w:rsidRPr="00A73FD4">
              <w:rPr>
                <w:b/>
              </w:rPr>
              <w:t>maximálna výška prvej poskytnutej zálohovej platby</w:t>
            </w:r>
          </w:p>
        </w:tc>
        <w:tc>
          <w:tcPr>
            <w:tcW w:w="7689" w:type="dxa"/>
            <w:shd w:val="clear" w:color="auto" w:fill="FDE9D9" w:themeFill="accent6" w:themeFillTint="33"/>
          </w:tcPr>
          <w:p w14:paraId="127F3EC8" w14:textId="77777777" w:rsidR="00117BF0" w:rsidRPr="00480CAF" w:rsidRDefault="00117BF0" w:rsidP="005B7CFC">
            <w:pPr>
              <w:jc w:val="both"/>
              <w:rPr>
                <w:b/>
              </w:rPr>
            </w:pPr>
          </w:p>
          <w:p w14:paraId="36983C79" w14:textId="285CD264" w:rsidR="00117BF0" w:rsidRPr="00480CAF" w:rsidRDefault="00117BF0" w:rsidP="00875A13">
            <w:pPr>
              <w:jc w:val="both"/>
              <w:rPr>
                <w:b/>
              </w:rPr>
            </w:pPr>
            <w:r w:rsidRPr="00480CAF">
              <w:rPr>
                <w:b/>
              </w:rPr>
              <w:t xml:space="preserve">= 0,4 * </w:t>
            </w:r>
            <w:r w:rsidRPr="00A73FD4">
              <w:rPr>
                <w:b/>
              </w:rPr>
              <w:t xml:space="preserve">(suma NFP – vyčerpaná suma </w:t>
            </w:r>
            <w:r>
              <w:rPr>
                <w:b/>
              </w:rPr>
              <w:t>NFP</w:t>
            </w:r>
            <w:r w:rsidRPr="00A73FD4">
              <w:rPr>
                <w:b/>
              </w:rPr>
              <w:t xml:space="preserve"> </w:t>
            </w:r>
            <w:r w:rsidR="00875A13">
              <w:rPr>
                <w:b/>
              </w:rPr>
              <w:t>v čase výpočtu prvej zálohovej platby</w:t>
            </w:r>
            <w:r w:rsidR="00875A13" w:rsidRPr="00A73FD4">
              <w:rPr>
                <w:b/>
              </w:rPr>
              <w:t xml:space="preserve"> </w:t>
            </w:r>
            <w:r w:rsidRPr="00A73FD4">
              <w:rPr>
                <w:b/>
              </w:rPr>
              <w:t>(zdroj EÚ a</w:t>
            </w:r>
            <w:r w:rsidR="00875A13">
              <w:rPr>
                <w:b/>
              </w:rPr>
              <w:t> </w:t>
            </w:r>
            <w:r w:rsidRPr="00A73FD4">
              <w:rPr>
                <w:b/>
              </w:rPr>
              <w:t>ŠR)</w:t>
            </w:r>
            <w:r w:rsidR="00875A13">
              <w:rPr>
                <w:b/>
              </w:rPr>
              <w:t>*</w:t>
            </w:r>
            <w:r w:rsidRPr="00A73FD4">
              <w:rPr>
                <w:b/>
              </w:rPr>
              <w:t>)</w:t>
            </w:r>
          </w:p>
        </w:tc>
      </w:tr>
    </w:tbl>
    <w:p w14:paraId="13AA187C" w14:textId="455511FE" w:rsidR="00117BF0" w:rsidRPr="00A73FD4" w:rsidRDefault="00875A13" w:rsidP="00117BF0">
      <w:pP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* </w:t>
      </w:r>
      <w:r w:rsidR="00117BF0">
        <w:rPr>
          <w:color w:val="FF0000"/>
          <w:sz w:val="20"/>
          <w:szCs w:val="20"/>
        </w:rPr>
        <w:t>O</w:t>
      </w:r>
      <w:r w:rsidR="00117BF0" w:rsidRPr="00A73FD4">
        <w:rPr>
          <w:color w:val="FF0000"/>
          <w:sz w:val="20"/>
          <w:szCs w:val="20"/>
        </w:rPr>
        <w:t xml:space="preserve"> vyčerpanú sumu </w:t>
      </w:r>
      <w:r w:rsidR="00117BF0">
        <w:rPr>
          <w:color w:val="FF0000"/>
          <w:sz w:val="20"/>
          <w:szCs w:val="20"/>
        </w:rPr>
        <w:t>NFP</w:t>
      </w:r>
      <w:r w:rsidR="00117BF0" w:rsidRPr="00A73FD4">
        <w:rPr>
          <w:color w:val="FF0000"/>
          <w:sz w:val="20"/>
          <w:szCs w:val="20"/>
        </w:rPr>
        <w:t xml:space="preserve"> sa maximálna výška prvej poskytnutej zálohovej platby znižuje, ak pred jej poskytnutím bola žiadosť o platbu (priebežná platba) schválená certifikačným orgánom v súhrnnej žiadosti o platbu/</w:t>
      </w:r>
      <w:r w:rsidR="00117BF0">
        <w:rPr>
          <w:color w:val="FF0000"/>
          <w:sz w:val="20"/>
          <w:szCs w:val="20"/>
        </w:rPr>
        <w:t xml:space="preserve"> </w:t>
      </w:r>
      <w:r w:rsidR="00117BF0" w:rsidRPr="00A73FD4">
        <w:rPr>
          <w:color w:val="FF0000"/>
          <w:sz w:val="20"/>
          <w:szCs w:val="20"/>
        </w:rPr>
        <w:t>mimoriadnej súhrnnej žiadosti o platbu.</w:t>
      </w:r>
      <w:bookmarkStart w:id="0" w:name="_GoBack"/>
      <w:bookmarkEnd w:id="0"/>
    </w:p>
    <w:p w14:paraId="7F7A023E" w14:textId="77777777" w:rsidR="00117BF0" w:rsidRPr="002965C4" w:rsidRDefault="00117BF0" w:rsidP="00117BF0">
      <w:pPr>
        <w:jc w:val="both"/>
        <w:rPr>
          <w:color w:val="FF0000"/>
        </w:rPr>
      </w:pPr>
    </w:p>
    <w:p w14:paraId="3C00C7B4" w14:textId="7B599A17" w:rsidR="00875A13" w:rsidRPr="002C4F05" w:rsidRDefault="00117BF0" w:rsidP="00875A13">
      <w:pPr>
        <w:jc w:val="both"/>
        <w:rPr>
          <w:bCs/>
          <w:color w:val="FF0000"/>
          <w:lang w:eastAsia="sk-SK"/>
        </w:rPr>
      </w:pPr>
      <w:r>
        <w:rPr>
          <w:color w:val="FF0000"/>
        </w:rPr>
        <w:t>V</w:t>
      </w:r>
      <w:r w:rsidRPr="002965C4">
        <w:rPr>
          <w:color w:val="FF0000"/>
        </w:rPr>
        <w:t xml:space="preserve"> prípade ak sa blíži koniec realizácie projektu, môže nastať situácia, že suma nevyčerpaných finančných prostriedkov bude nižšia ako maximálna výška zálohovej platby, a teda </w:t>
      </w:r>
      <w:r>
        <w:rPr>
          <w:color w:val="FF0000"/>
        </w:rPr>
        <w:t xml:space="preserve">zálohová platba </w:t>
      </w:r>
      <w:r w:rsidRPr="002965C4">
        <w:rPr>
          <w:color w:val="FF0000"/>
        </w:rPr>
        <w:t xml:space="preserve">nemôže byť poskytnutá v maximálnej výške, ale len do výšky </w:t>
      </w:r>
      <w:r w:rsidR="00875A13" w:rsidRPr="00F7255F">
        <w:rPr>
          <w:color w:val="FF0000"/>
        </w:rPr>
        <w:t xml:space="preserve">nevyčerpaných, t.j. </w:t>
      </w:r>
      <w:r w:rsidRPr="002965C4">
        <w:rPr>
          <w:color w:val="FF0000"/>
        </w:rPr>
        <w:t xml:space="preserve">voľných finančných prostriedkov. </w:t>
      </w:r>
      <w:r w:rsidR="00875A13" w:rsidRPr="00836468">
        <w:rPr>
          <w:color w:val="FF0000"/>
          <w:lang w:eastAsia="sk-SK"/>
        </w:rPr>
        <w:t xml:space="preserve">Zároveň, ak na konci realizácie projektu sú predložené „neuhradené“ žiadosti o platbu, tak o sumu daných žiadostí o platbu sa zníži výška poskytovanej zálohovej platby. Takže </w:t>
      </w:r>
      <w:r w:rsidR="00875A13" w:rsidRPr="00836468">
        <w:rPr>
          <w:b/>
          <w:bCs/>
          <w:color w:val="FF0000"/>
          <w:lang w:eastAsia="sk-SK"/>
        </w:rPr>
        <w:t xml:space="preserve">prijímateľ môže disponovať len s maximálnou výškou zálohovej platby do výšky nevyčerpaných, t.j. voľných finančných prostriedkov pri zohľadnení aj </w:t>
      </w:r>
      <w:r w:rsidR="001C2B36">
        <w:rPr>
          <w:b/>
          <w:bCs/>
          <w:color w:val="FF0000"/>
          <w:lang w:eastAsia="sk-SK"/>
        </w:rPr>
        <w:t>predložených žiadostí o platbu.</w:t>
      </w:r>
    </w:p>
    <w:p w14:paraId="04FA146B" w14:textId="0335FFCA" w:rsidR="00875A13" w:rsidRPr="00836468" w:rsidRDefault="00875A13" w:rsidP="00875A13">
      <w:pPr>
        <w:jc w:val="both"/>
        <w:rPr>
          <w:color w:val="FF0000"/>
          <w:lang w:eastAsia="sk-SK"/>
        </w:rPr>
      </w:pPr>
      <w:r w:rsidRPr="00836468">
        <w:rPr>
          <w:color w:val="FF0000"/>
          <w:lang w:eastAsia="sk-SK"/>
        </w:rPr>
        <w:t xml:space="preserve">V prípade, ak na konci realizácie projektu nastane situácia, že prijímateľ predloží žiadosť o priebežnú platbu (refundáciu) až po poskytnutí zálohovej platby, a teda prijímateľovi bude poskytnutá vyššia zálohová platba ako je celkové NFP, resp. ak prijímateľ nezúčtuje poskytnutú zálohovú platbu v stanovenom termíne, tak je potrebné </w:t>
      </w:r>
      <w:r w:rsidRPr="00836468">
        <w:rPr>
          <w:b/>
          <w:bCs/>
          <w:color w:val="FF0000"/>
          <w:lang w:eastAsia="sk-SK"/>
        </w:rPr>
        <w:t>vrátiť sumu nezúčtovaného rozdielu zálohovej platby</w:t>
      </w:r>
      <w:r w:rsidR="001C2B36">
        <w:rPr>
          <w:color w:val="FF0000"/>
          <w:lang w:eastAsia="sk-SK"/>
        </w:rPr>
        <w:t>.</w:t>
      </w:r>
    </w:p>
    <w:p w14:paraId="79BB1A0E" w14:textId="77777777" w:rsidR="002B07F4" w:rsidRPr="00053901" w:rsidRDefault="002B07F4" w:rsidP="00117BF0">
      <w:pPr>
        <w:rPr>
          <w:rFonts w:cstheme="minorHAnsi"/>
          <w:shd w:val="clear" w:color="auto" w:fill="FFFFFF"/>
        </w:rPr>
      </w:pPr>
    </w:p>
    <w:p w14:paraId="42CA061A" w14:textId="77777777" w:rsidR="000B7541" w:rsidRPr="00C939C8" w:rsidRDefault="000B7541" w:rsidP="000B7541">
      <w:pPr>
        <w:pStyle w:val="Odsekzoznamu"/>
        <w:pBdr>
          <w:bottom w:val="single" w:sz="4" w:space="1" w:color="auto"/>
        </w:pBdr>
        <w:jc w:val="both"/>
        <w:rPr>
          <w:b/>
          <w:color w:val="00B050"/>
        </w:rPr>
      </w:pPr>
      <w:r>
        <w:rPr>
          <w:b/>
          <w:color w:val="00B050"/>
        </w:rPr>
        <w:t>B.3 Predĺženie lehoty na zúčtovanie poskytnutej zálohovej platby</w:t>
      </w:r>
    </w:p>
    <w:p w14:paraId="5B58F560" w14:textId="77777777" w:rsidR="000B7541" w:rsidRPr="00480CAF" w:rsidRDefault="000B7541" w:rsidP="000B7541">
      <w:pPr>
        <w:jc w:val="both"/>
        <w:rPr>
          <w:b/>
        </w:rPr>
      </w:pPr>
      <w:r>
        <w:rPr>
          <w:b/>
        </w:rPr>
        <w:t xml:space="preserve">V lehote 12 mesiacov </w:t>
      </w:r>
      <w:r w:rsidRPr="00480CAF">
        <w:rPr>
          <w:b/>
        </w:rPr>
        <w:t xml:space="preserve">odo dňa pripísania finančných prostriedkov na účet prijímateľa </w:t>
      </w:r>
      <w:r>
        <w:t xml:space="preserve">je prijímateľ povinný </w:t>
      </w:r>
      <w:r w:rsidRPr="00480CAF">
        <w:rPr>
          <w:b/>
        </w:rPr>
        <w:t>zúčtova</w:t>
      </w:r>
      <w:r>
        <w:rPr>
          <w:b/>
        </w:rPr>
        <w:t>ť 100 % sumy každej jednej poskytnutej zálohovej platby</w:t>
      </w:r>
      <w:r w:rsidRPr="00480CAF">
        <w:t xml:space="preserve">. Uvedená lehota </w:t>
      </w:r>
      <w:r w:rsidRPr="00480CAF">
        <w:rPr>
          <w:b/>
        </w:rPr>
        <w:t>sa vzťahuje aj na už poskytnuté zálohové platby.</w:t>
      </w:r>
    </w:p>
    <w:p w14:paraId="7ECA4D38" w14:textId="77777777" w:rsidR="000B7541" w:rsidRDefault="000B7541" w:rsidP="000B7541">
      <w:pPr>
        <w:jc w:val="both"/>
      </w:pPr>
    </w:p>
    <w:p w14:paraId="32016C62" w14:textId="2855E5A3" w:rsidR="000B7541" w:rsidRPr="0082220C" w:rsidRDefault="000B7541" w:rsidP="000B7541">
      <w:pPr>
        <w:jc w:val="both"/>
      </w:pPr>
      <w:r>
        <w:rPr>
          <w:b/>
        </w:rPr>
        <w:t>Aplikácia:</w:t>
      </w:r>
      <w:r w:rsidR="00861FCD">
        <w:t xml:space="preserve"> všetky výzvy.</w:t>
      </w:r>
    </w:p>
    <w:p w14:paraId="7BA7BBFF" w14:textId="77777777" w:rsidR="000B7541" w:rsidRDefault="000B7541" w:rsidP="000B7541">
      <w:pPr>
        <w:jc w:val="both"/>
      </w:pPr>
    </w:p>
    <w:p w14:paraId="6CE42204" w14:textId="77777777" w:rsidR="000B7541" w:rsidRPr="0082220C" w:rsidRDefault="000B7541" w:rsidP="000B7541">
      <w:pPr>
        <w:jc w:val="both"/>
        <w:rPr>
          <w:b/>
        </w:rPr>
      </w:pPr>
      <w:r w:rsidRPr="0082220C">
        <w:rPr>
          <w:b/>
        </w:rPr>
        <w:t>Postup prijímateľa:</w:t>
      </w:r>
    </w:p>
    <w:p w14:paraId="06F9E160" w14:textId="71A4336C" w:rsidR="000B7541" w:rsidRDefault="000B7541" w:rsidP="000B7541">
      <w:pPr>
        <w:jc w:val="both"/>
      </w:pPr>
      <w:r>
        <w:t xml:space="preserve">Bez potreby iniciatívy zo strany prijímateľa; aplikovateľné v nadväznosti na Oznámenie </w:t>
      </w:r>
      <w:r w:rsidR="009F49AA">
        <w:t xml:space="preserve">hromadnej </w:t>
      </w:r>
      <w:r>
        <w:t>zmeny zmluvy o poskytnutí NFP.</w:t>
      </w:r>
    </w:p>
    <w:p w14:paraId="5035D654" w14:textId="77777777" w:rsidR="000B7541" w:rsidRDefault="000B7541" w:rsidP="000B7541">
      <w:pPr>
        <w:jc w:val="both"/>
      </w:pPr>
    </w:p>
    <w:p w14:paraId="3C6C364C" w14:textId="77777777" w:rsidR="000B7541" w:rsidRPr="007C0838" w:rsidRDefault="000B7541" w:rsidP="000B7541">
      <w:pPr>
        <w:pStyle w:val="Odsekzoznamu"/>
        <w:pBdr>
          <w:bottom w:val="single" w:sz="4" w:space="1" w:color="auto"/>
        </w:pBdr>
        <w:ind w:left="714"/>
        <w:contextualSpacing w:val="0"/>
        <w:jc w:val="both"/>
        <w:rPr>
          <w:b/>
          <w:bCs/>
          <w:color w:val="00B050"/>
        </w:rPr>
      </w:pPr>
      <w:r>
        <w:rPr>
          <w:b/>
          <w:color w:val="00B050"/>
        </w:rPr>
        <w:t>B.4 Vysporiadanie finančných vzťahov v zmysle článku 10 ods. 4 VZP</w:t>
      </w:r>
    </w:p>
    <w:p w14:paraId="1E6BDD06" w14:textId="77777777" w:rsidR="000B7541" w:rsidRDefault="000B7541" w:rsidP="000B7541">
      <w:pPr>
        <w:jc w:val="both"/>
      </w:pPr>
      <w:r w:rsidRPr="00365691">
        <w:rPr>
          <w:bCs/>
        </w:rPr>
        <w:t xml:space="preserve">Vo vzťahu k vysporiadaniu finančných vzťahov v zmysle článku 10 ods. 4 VZP </w:t>
      </w:r>
      <w:r w:rsidRPr="007C0838">
        <w:t>dochá</w:t>
      </w:r>
      <w:r>
        <w:t>dza k:</w:t>
      </w:r>
    </w:p>
    <w:p w14:paraId="2B0AF9BC" w14:textId="77777777" w:rsidR="000B7541" w:rsidRDefault="000B7541" w:rsidP="000B7541">
      <w:pPr>
        <w:pStyle w:val="Odsekzoznamu"/>
        <w:numPr>
          <w:ilvl w:val="0"/>
          <w:numId w:val="9"/>
        </w:numPr>
        <w:jc w:val="both"/>
      </w:pPr>
      <w:r w:rsidRPr="00A00403">
        <w:rPr>
          <w:b/>
        </w:rPr>
        <w:t xml:space="preserve">zmene lehoty splatnosti </w:t>
      </w:r>
      <w:r>
        <w:rPr>
          <w:b/>
        </w:rPr>
        <w:t>ŽoV</w:t>
      </w:r>
      <w:r w:rsidRPr="00A00403">
        <w:rPr>
          <w:b/>
        </w:rPr>
        <w:t xml:space="preserve"> zo 60 na 120 dní</w:t>
      </w:r>
      <w:r>
        <w:t xml:space="preserve"> </w:t>
      </w:r>
      <w:r w:rsidRPr="00A00403">
        <w:rPr>
          <w:b/>
        </w:rPr>
        <w:t>odo dňa doručenia ŽoV prijímateľovi vo verejnej časti ITMS2014+</w:t>
      </w:r>
      <w:r>
        <w:t>, ktorá začína plynúť odo dňa sprístupnenia ŽoV vo verejnej časti ITMS2014+</w:t>
      </w:r>
    </w:p>
    <w:p w14:paraId="5F1B70DF" w14:textId="77777777" w:rsidR="000B7541" w:rsidRDefault="000B7541" w:rsidP="000B7541">
      <w:pPr>
        <w:jc w:val="both"/>
      </w:pPr>
    </w:p>
    <w:p w14:paraId="37794DEE" w14:textId="77777777" w:rsidR="001C2B36" w:rsidRDefault="001C2B36" w:rsidP="000B7541">
      <w:pPr>
        <w:jc w:val="both"/>
      </w:pPr>
    </w:p>
    <w:p w14:paraId="43AF7AC1" w14:textId="77777777" w:rsidR="001C2B36" w:rsidRDefault="001C2B36" w:rsidP="000B7541">
      <w:pPr>
        <w:jc w:val="both"/>
      </w:pPr>
    </w:p>
    <w:p w14:paraId="3AC5F11B" w14:textId="0C3E589E" w:rsidR="000B7541" w:rsidRPr="00365691" w:rsidRDefault="002B07F4" w:rsidP="000B7541">
      <w:pPr>
        <w:jc w:val="both"/>
        <w:rPr>
          <w:b/>
        </w:rPr>
      </w:pPr>
      <w:r>
        <w:rPr>
          <w:b/>
        </w:rPr>
        <w:lastRenderedPageBreak/>
        <w:t>Poznámka:</w:t>
      </w:r>
    </w:p>
    <w:p w14:paraId="56BF6755" w14:textId="77777777" w:rsidR="000B7541" w:rsidRPr="007C0838" w:rsidRDefault="000B7541" w:rsidP="000B7541">
      <w:pPr>
        <w:jc w:val="both"/>
      </w:pPr>
      <w:r>
        <w:t>U</w:t>
      </w:r>
      <w:r w:rsidRPr="007C0838">
        <w:t xml:space="preserve">vedená zmena sa vzťahuje na prijímateľov, ktorým bola zaslaná žiadosť o vrátenie a ku dňu vyhlásenia </w:t>
      </w:r>
      <w:r>
        <w:t>mimoriadnej situácie</w:t>
      </w:r>
      <w:r w:rsidRPr="007C0838">
        <w:t xml:space="preserve">, </w:t>
      </w:r>
      <w:r>
        <w:t>t.j</w:t>
      </w:r>
      <w:r w:rsidRPr="007C0838">
        <w:t>. k 1</w:t>
      </w:r>
      <w:r>
        <w:t>2</w:t>
      </w:r>
      <w:r w:rsidRPr="007C0838">
        <w:t xml:space="preserve">.03.2020 neuplynula 60 dňová lehota na vrátenie </w:t>
      </w:r>
      <w:r>
        <w:t>NFP</w:t>
      </w:r>
      <w:r w:rsidRPr="007C0838">
        <w:t xml:space="preserve"> alebo jeho časti.</w:t>
      </w:r>
    </w:p>
    <w:p w14:paraId="07EC0F82" w14:textId="77777777" w:rsidR="000B7541" w:rsidRPr="00861FCD" w:rsidRDefault="000B7541" w:rsidP="000B7541">
      <w:pPr>
        <w:jc w:val="both"/>
      </w:pPr>
    </w:p>
    <w:p w14:paraId="061BA9B9" w14:textId="37285351" w:rsidR="000B7541" w:rsidRPr="0082220C" w:rsidRDefault="000B7541" w:rsidP="000B7541">
      <w:pPr>
        <w:jc w:val="both"/>
      </w:pPr>
      <w:r>
        <w:rPr>
          <w:b/>
        </w:rPr>
        <w:t>Aplikácia:</w:t>
      </w:r>
      <w:r w:rsidR="00861FCD">
        <w:t xml:space="preserve"> všetky výzvy.</w:t>
      </w:r>
    </w:p>
    <w:p w14:paraId="6E4ADA39" w14:textId="77777777" w:rsidR="000B7541" w:rsidRPr="00861FCD" w:rsidRDefault="000B7541" w:rsidP="000B7541">
      <w:pPr>
        <w:jc w:val="both"/>
      </w:pPr>
    </w:p>
    <w:p w14:paraId="48A2A981" w14:textId="77777777" w:rsidR="000B7541" w:rsidRPr="0082220C" w:rsidRDefault="000B7541" w:rsidP="000B7541">
      <w:pPr>
        <w:jc w:val="both"/>
        <w:rPr>
          <w:b/>
        </w:rPr>
      </w:pPr>
      <w:r w:rsidRPr="0082220C">
        <w:rPr>
          <w:b/>
        </w:rPr>
        <w:t>Postup prijímateľa:</w:t>
      </w:r>
    </w:p>
    <w:p w14:paraId="5AB902C6" w14:textId="26875189" w:rsidR="00123EC7" w:rsidRPr="00C65515" w:rsidRDefault="000B7541" w:rsidP="00861FCD">
      <w:pPr>
        <w:jc w:val="both"/>
      </w:pPr>
      <w:r>
        <w:t xml:space="preserve">Bez potreby iniciatívy zo strany prijímateľa; </w:t>
      </w:r>
      <w:r w:rsidR="00CE05BA">
        <w:t>aplikovateľné v nadväznosti na Oznámenie hromadnej zmeny zmluvy o poskytnutí NFP.</w:t>
      </w:r>
    </w:p>
    <w:sectPr w:rsidR="00123EC7" w:rsidRPr="00C65515" w:rsidSect="000B7541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00" w:right="1418" w:bottom="1418" w:left="1418" w:header="0" w:footer="29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E7B8F" w14:textId="77777777" w:rsidR="006367A0" w:rsidRDefault="006367A0">
      <w:r>
        <w:separator/>
      </w:r>
    </w:p>
  </w:endnote>
  <w:endnote w:type="continuationSeparator" w:id="0">
    <w:p w14:paraId="1BF1DDD6" w14:textId="77777777" w:rsidR="006367A0" w:rsidRDefault="0063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0767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2773A0E" w14:textId="6C3377C0" w:rsidR="001B72D7" w:rsidRPr="001B72D7" w:rsidRDefault="001B72D7">
        <w:pPr>
          <w:pStyle w:val="Pt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B72D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B72D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B72D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C4F05" w:rsidRPr="002C4F05">
          <w:rPr>
            <w:rFonts w:asciiTheme="minorHAnsi" w:hAnsiTheme="minorHAnsi" w:cstheme="minorHAnsi"/>
            <w:noProof/>
            <w:sz w:val="22"/>
            <w:szCs w:val="22"/>
            <w:lang w:val="sk-SK"/>
          </w:rPr>
          <w:t>4</w:t>
        </w:r>
        <w:r w:rsidRPr="001B72D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849D5C7" w14:textId="77777777" w:rsidR="00F76017" w:rsidRDefault="00F760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771E2" w14:textId="3ADC89F6" w:rsidR="00A92B43" w:rsidRDefault="00686582" w:rsidP="00021CDB">
    <w:pPr>
      <w:ind w:left="-142" w:right="-238"/>
      <w:jc w:val="center"/>
      <w:rPr>
        <w:rFonts w:ascii="Trebuchet MS" w:hAnsi="Trebuchet MS"/>
        <w:b/>
        <w:color w:val="6D6E71"/>
        <w:sz w:val="20"/>
      </w:rPr>
    </w:pPr>
    <w:r w:rsidRPr="0066256F">
      <w:rPr>
        <w:rFonts w:ascii="Trebuchet MS" w:hAnsi="Trebuchet MS" w:cs="Times New Roman"/>
        <w:noProof/>
        <w:color w:val="6D6E71"/>
        <w:sz w:val="17"/>
        <w:szCs w:val="17"/>
        <w:lang w:eastAsia="sk-SK"/>
      </w:rPr>
      <w:drawing>
        <wp:anchor distT="0" distB="0" distL="114300" distR="114300" simplePos="0" relativeHeight="251657216" behindDoc="1" locked="0" layoutInCell="1" allowOverlap="1" wp14:anchorId="5D5045E4" wp14:editId="39A58785">
          <wp:simplePos x="0" y="0"/>
          <wp:positionH relativeFrom="margin">
            <wp:posOffset>2514600</wp:posOffset>
          </wp:positionH>
          <wp:positionV relativeFrom="margin">
            <wp:posOffset>7219315</wp:posOffset>
          </wp:positionV>
          <wp:extent cx="1022350" cy="1092200"/>
          <wp:effectExtent l="0" t="0" r="0" b="0"/>
          <wp:wrapNone/>
          <wp:docPr id="22" name="Obrázo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ZASI_logo.png"/>
                  <pic:cNvPicPr/>
                </pic:nvPicPr>
                <pic:blipFill rotWithShape="1"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615"/>
                  <a:stretch/>
                </pic:blipFill>
                <pic:spPr bwMode="auto">
                  <a:xfrm>
                    <a:off x="0" y="0"/>
                    <a:ext cx="1022350" cy="109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0B01F8" w14:textId="0D6905F4" w:rsidR="001065B7" w:rsidRDefault="00686582" w:rsidP="001065B7">
    <w:pPr>
      <w:jc w:val="right"/>
      <w:rPr>
        <w:rFonts w:ascii="Trebuchet MS" w:hAnsi="Trebuchet MS"/>
        <w:color w:val="F36F21"/>
        <w:sz w:val="17"/>
        <w:szCs w:val="17"/>
      </w:rPr>
    </w:pPr>
    <w:r w:rsidRPr="00F91DAA">
      <w:rPr>
        <w:rFonts w:ascii="Trebuchet MS" w:hAnsi="Trebuchet MS"/>
        <w:color w:val="F36F21"/>
        <w:sz w:val="17"/>
        <w:szCs w:val="17"/>
      </w:rPr>
      <w:t>Sídlo:</w:t>
    </w:r>
    <w:r w:rsidRPr="0066256F">
      <w:rPr>
        <w:rFonts w:ascii="Trebuchet MS" w:hAnsi="Trebuchet MS"/>
        <w:color w:val="6D6E71"/>
        <w:sz w:val="17"/>
        <w:szCs w:val="17"/>
      </w:rPr>
      <w:t xml:space="preserve"> </w:t>
    </w:r>
    <w:r w:rsidR="001065B7" w:rsidRPr="0066256F">
      <w:rPr>
        <w:rFonts w:ascii="Trebuchet MS" w:hAnsi="Trebuchet MS"/>
        <w:color w:val="6D6E71"/>
        <w:sz w:val="17"/>
        <w:szCs w:val="17"/>
      </w:rPr>
      <w:t xml:space="preserve">Implementačná agentúra </w:t>
    </w:r>
    <w:r w:rsidR="001065B7">
      <w:rPr>
        <w:rFonts w:ascii="Trebuchet MS" w:hAnsi="Trebuchet MS"/>
        <w:color w:val="6D6E71"/>
        <w:sz w:val="17"/>
        <w:szCs w:val="17"/>
      </w:rPr>
      <w:t>Ministerstva práce, sociálnych vecí a rodiny SR</w:t>
    </w:r>
    <w:r w:rsidR="001065B7" w:rsidRPr="0066256F">
      <w:rPr>
        <w:rFonts w:ascii="Trebuchet MS" w:hAnsi="Trebuchet MS"/>
        <w:color w:val="F36F21"/>
        <w:sz w:val="17"/>
        <w:szCs w:val="17"/>
      </w:rPr>
      <w:t xml:space="preserve"> </w:t>
    </w:r>
  </w:p>
  <w:p w14:paraId="025A4041" w14:textId="38C12432" w:rsidR="00686582" w:rsidRPr="0066256F" w:rsidRDefault="00686582" w:rsidP="001065B7">
    <w:pPr>
      <w:jc w:val="right"/>
      <w:rPr>
        <w:rFonts w:ascii="Trebuchet MS" w:hAnsi="Trebuchet MS"/>
        <w:color w:val="FF6600"/>
        <w:sz w:val="17"/>
        <w:szCs w:val="17"/>
      </w:rPr>
    </w:pPr>
    <w:r w:rsidRPr="0066256F">
      <w:rPr>
        <w:rFonts w:ascii="Trebuchet MS" w:hAnsi="Trebuchet MS"/>
        <w:color w:val="F36F21"/>
        <w:sz w:val="17"/>
        <w:szCs w:val="17"/>
      </w:rPr>
      <w:t>Adresa:</w:t>
    </w:r>
    <w:r w:rsidRPr="0066256F">
      <w:rPr>
        <w:rFonts w:ascii="Trebuchet MS" w:hAnsi="Trebuchet MS"/>
        <w:color w:val="FF9900"/>
        <w:sz w:val="17"/>
        <w:szCs w:val="17"/>
      </w:rPr>
      <w:t xml:space="preserve"> </w:t>
    </w:r>
    <w:r w:rsidRPr="0066256F">
      <w:rPr>
        <w:rFonts w:ascii="Trebuchet MS" w:hAnsi="Trebuchet MS"/>
        <w:color w:val="6D6E71"/>
        <w:sz w:val="17"/>
        <w:szCs w:val="17"/>
      </w:rPr>
      <w:t>Špitálska 6</w:t>
    </w:r>
    <w:r w:rsidRPr="0066256F">
      <w:rPr>
        <w:rFonts w:ascii="Trebuchet MS" w:hAnsi="Trebuchet MS"/>
        <w:color w:val="FF9900"/>
        <w:sz w:val="17"/>
        <w:szCs w:val="17"/>
      </w:rPr>
      <w:t xml:space="preserve"> </w:t>
    </w:r>
    <w:r w:rsidRPr="0066256F">
      <w:rPr>
        <w:rFonts w:ascii="Trebuchet MS" w:hAnsi="Trebuchet MS"/>
        <w:color w:val="F36F21"/>
        <w:sz w:val="17"/>
        <w:szCs w:val="17"/>
      </w:rPr>
      <w:t>I</w:t>
    </w:r>
    <w:r w:rsidRPr="0066256F">
      <w:rPr>
        <w:rFonts w:ascii="Trebuchet MS" w:hAnsi="Trebuchet MS"/>
        <w:color w:val="FF9900"/>
        <w:sz w:val="17"/>
        <w:szCs w:val="17"/>
      </w:rPr>
      <w:t xml:space="preserve"> </w:t>
    </w:r>
    <w:r w:rsidRPr="0066256F">
      <w:rPr>
        <w:rFonts w:ascii="Trebuchet MS" w:hAnsi="Trebuchet MS"/>
        <w:color w:val="6D6E71"/>
        <w:sz w:val="17"/>
        <w:szCs w:val="17"/>
      </w:rPr>
      <w:t>814 55 Bratislava</w:t>
    </w:r>
  </w:p>
  <w:p w14:paraId="5B5F9E95" w14:textId="5EFF00ED" w:rsidR="00686582" w:rsidRPr="00096F38" w:rsidRDefault="00686582" w:rsidP="00686582">
    <w:pPr>
      <w:jc w:val="right"/>
      <w:rPr>
        <w:rFonts w:ascii="Trebuchet MS" w:hAnsi="Trebuchet MS"/>
        <w:color w:val="6D6E71"/>
        <w:sz w:val="17"/>
        <w:szCs w:val="17"/>
      </w:rPr>
    </w:pPr>
    <w:r w:rsidRPr="0066256F">
      <w:rPr>
        <w:rFonts w:ascii="Trebuchet MS" w:hAnsi="Trebuchet MS"/>
        <w:color w:val="F36F21"/>
        <w:sz w:val="17"/>
        <w:szCs w:val="17"/>
      </w:rPr>
      <w:t xml:space="preserve">tel.: </w:t>
    </w:r>
    <w:r w:rsidRPr="0066256F">
      <w:rPr>
        <w:rFonts w:ascii="Trebuchet MS" w:hAnsi="Trebuchet MS"/>
        <w:color w:val="6D6E71"/>
        <w:sz w:val="17"/>
        <w:szCs w:val="17"/>
      </w:rPr>
      <w:t xml:space="preserve">02 2043 1100 </w:t>
    </w:r>
    <w:r w:rsidRPr="0066256F">
      <w:rPr>
        <w:rFonts w:ascii="Trebuchet MS" w:hAnsi="Trebuchet MS"/>
        <w:color w:val="F36F21"/>
        <w:sz w:val="17"/>
        <w:szCs w:val="17"/>
      </w:rPr>
      <w:t xml:space="preserve">I e-mail: </w:t>
    </w:r>
    <w:r w:rsidR="002C7F62">
      <w:rPr>
        <w:rFonts w:ascii="Trebuchet MS" w:hAnsi="Trebuchet MS"/>
        <w:color w:val="6D6E71"/>
        <w:sz w:val="17"/>
        <w:szCs w:val="17"/>
      </w:rPr>
      <w:t>info@ia</w:t>
    </w:r>
    <w:r w:rsidRPr="0066256F">
      <w:rPr>
        <w:rFonts w:ascii="Trebuchet MS" w:hAnsi="Trebuchet MS"/>
        <w:color w:val="6D6E71"/>
        <w:sz w:val="17"/>
        <w:szCs w:val="17"/>
      </w:rPr>
      <w:t xml:space="preserve">.gov.sk </w:t>
    </w:r>
    <w:r w:rsidRPr="0066256F">
      <w:rPr>
        <w:rFonts w:ascii="Trebuchet MS" w:hAnsi="Trebuchet MS"/>
        <w:color w:val="F36F21"/>
        <w:sz w:val="17"/>
        <w:szCs w:val="17"/>
      </w:rPr>
      <w:t xml:space="preserve">I http: </w:t>
    </w:r>
    <w:r w:rsidR="002C7F62">
      <w:rPr>
        <w:rFonts w:ascii="Trebuchet MS" w:hAnsi="Trebuchet MS"/>
        <w:color w:val="6D6E71"/>
        <w:sz w:val="17"/>
        <w:szCs w:val="17"/>
      </w:rPr>
      <w:t>www.ia</w:t>
    </w:r>
    <w:r w:rsidRPr="0066256F">
      <w:rPr>
        <w:rFonts w:ascii="Trebuchet MS" w:hAnsi="Trebuchet MS"/>
        <w:color w:val="6D6E71"/>
        <w:sz w:val="17"/>
        <w:szCs w:val="17"/>
      </w:rPr>
      <w:t>.gov.</w:t>
    </w:r>
    <w:r>
      <w:rPr>
        <w:rFonts w:ascii="Trebuchet MS" w:hAnsi="Trebuchet MS"/>
        <w:color w:val="6D6E71"/>
        <w:sz w:val="17"/>
        <w:szCs w:val="17"/>
      </w:rPr>
      <w:t>sk</w:t>
    </w:r>
  </w:p>
  <w:p w14:paraId="7E5390F8" w14:textId="77777777" w:rsidR="00686582" w:rsidRPr="00C52A52" w:rsidRDefault="00686582" w:rsidP="00686582">
    <w:pPr>
      <w:ind w:left="-142" w:right="-238"/>
      <w:jc w:val="center"/>
      <w:rPr>
        <w:rFonts w:ascii="Trebuchet MS" w:hAnsi="Trebuchet MS"/>
        <w:b/>
        <w:color w:val="4D4D4D"/>
        <w:sz w:val="20"/>
      </w:rPr>
    </w:pPr>
  </w:p>
  <w:p w14:paraId="66ED7EF1" w14:textId="77777777" w:rsidR="00686582" w:rsidRPr="00C52A52" w:rsidRDefault="00686582" w:rsidP="00686582">
    <w:pPr>
      <w:ind w:left="-142" w:right="-238"/>
      <w:jc w:val="center"/>
      <w:rPr>
        <w:rFonts w:ascii="Trebuchet MS" w:hAnsi="Trebuchet MS"/>
        <w:b/>
        <w:color w:val="4D4D4D"/>
        <w:sz w:val="20"/>
      </w:rPr>
    </w:pPr>
  </w:p>
  <w:p w14:paraId="402BBF57" w14:textId="77777777" w:rsidR="00686582" w:rsidRPr="00C52A52" w:rsidRDefault="00686582" w:rsidP="00021CDB">
    <w:pPr>
      <w:ind w:left="-142" w:right="-238"/>
      <w:jc w:val="center"/>
      <w:rPr>
        <w:rFonts w:ascii="Trebuchet MS" w:hAnsi="Trebuchet MS"/>
        <w:b/>
        <w:color w:val="4D4D4D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00846" w14:textId="77777777" w:rsidR="006367A0" w:rsidRDefault="006367A0">
      <w:r>
        <w:separator/>
      </w:r>
    </w:p>
  </w:footnote>
  <w:footnote w:type="continuationSeparator" w:id="0">
    <w:p w14:paraId="732ACE95" w14:textId="77777777" w:rsidR="006367A0" w:rsidRDefault="00636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52FD6" w14:textId="77777777" w:rsidR="003C3E3E" w:rsidRDefault="003C3E3E"/>
  <w:tbl>
    <w:tblPr>
      <w:tblW w:w="9031" w:type="dxa"/>
      <w:tblLook w:val="04A0" w:firstRow="1" w:lastRow="0" w:firstColumn="1" w:lastColumn="0" w:noHBand="0" w:noVBand="1"/>
    </w:tblPr>
    <w:tblGrid>
      <w:gridCol w:w="2885"/>
      <w:gridCol w:w="6146"/>
    </w:tblGrid>
    <w:tr w:rsidR="005365F3" w14:paraId="1E929756" w14:textId="77777777" w:rsidTr="000B7541">
      <w:trPr>
        <w:trHeight w:val="1188"/>
      </w:trPr>
      <w:tc>
        <w:tcPr>
          <w:tcW w:w="2885" w:type="dxa"/>
          <w:vAlign w:val="center"/>
        </w:tcPr>
        <w:p w14:paraId="3948E854" w14:textId="77777777" w:rsidR="005365F3" w:rsidRDefault="00FE3F3F" w:rsidP="00FA1C4D">
          <w:pPr>
            <w:pStyle w:val="Hlavika"/>
            <w:jc w:val="right"/>
            <w:rPr>
              <w:b/>
            </w:rPr>
          </w:pPr>
          <w:r>
            <w:rPr>
              <w:noProof/>
              <w:lang w:val="sk-SK" w:eastAsia="sk-SK"/>
            </w:rPr>
            <w:drawing>
              <wp:anchor distT="0" distB="0" distL="114300" distR="114300" simplePos="0" relativeHeight="251659264" behindDoc="0" locked="0" layoutInCell="1" allowOverlap="1" wp14:anchorId="622A33D3" wp14:editId="0ECF7020">
                <wp:simplePos x="0" y="0"/>
                <wp:positionH relativeFrom="column">
                  <wp:posOffset>-44450</wp:posOffset>
                </wp:positionH>
                <wp:positionV relativeFrom="paragraph">
                  <wp:posOffset>101600</wp:posOffset>
                </wp:positionV>
                <wp:extent cx="5759450" cy="575945"/>
                <wp:effectExtent l="0" t="0" r="0" b="0"/>
                <wp:wrapNone/>
                <wp:docPr id="21" name="Obrázo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kombinacia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0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46" w:type="dxa"/>
        </w:tcPr>
        <w:p w14:paraId="3D05B236" w14:textId="77777777" w:rsidR="005365F3" w:rsidRDefault="005365F3" w:rsidP="00FA1C4D">
          <w:pPr>
            <w:pStyle w:val="Hlavika"/>
            <w:tabs>
              <w:tab w:val="clear" w:pos="4320"/>
            </w:tabs>
            <w:ind w:right="-108"/>
            <w:jc w:val="right"/>
          </w:pPr>
        </w:p>
      </w:tc>
    </w:tr>
  </w:tbl>
  <w:p w14:paraId="78C49049" w14:textId="77777777" w:rsidR="003141E0" w:rsidRDefault="006367A0" w:rsidP="001649EA">
    <w:pPr>
      <w:pStyle w:val="Hlavika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B1E"/>
    <w:multiLevelType w:val="hybridMultilevel"/>
    <w:tmpl w:val="E36419A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5F34"/>
    <w:multiLevelType w:val="hybridMultilevel"/>
    <w:tmpl w:val="4D1C92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5FD2"/>
    <w:multiLevelType w:val="hybridMultilevel"/>
    <w:tmpl w:val="9766CE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2A54"/>
    <w:multiLevelType w:val="hybridMultilevel"/>
    <w:tmpl w:val="1BEA2A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579B4"/>
    <w:multiLevelType w:val="hybridMultilevel"/>
    <w:tmpl w:val="CE1232A4"/>
    <w:lvl w:ilvl="0" w:tplc="3286A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62B1A"/>
    <w:multiLevelType w:val="hybridMultilevel"/>
    <w:tmpl w:val="60121D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837"/>
    <w:multiLevelType w:val="hybridMultilevel"/>
    <w:tmpl w:val="555C1286"/>
    <w:lvl w:ilvl="0" w:tplc="3286A4E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3C357815"/>
    <w:multiLevelType w:val="hybridMultilevel"/>
    <w:tmpl w:val="2DF2E36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6154546"/>
    <w:multiLevelType w:val="hybridMultilevel"/>
    <w:tmpl w:val="8110C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96EB9"/>
    <w:multiLevelType w:val="hybridMultilevel"/>
    <w:tmpl w:val="ED00C582"/>
    <w:lvl w:ilvl="0" w:tplc="624A4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E609E"/>
    <w:multiLevelType w:val="hybridMultilevel"/>
    <w:tmpl w:val="BEF8E6A0"/>
    <w:lvl w:ilvl="0" w:tplc="624A41D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FDE4851"/>
    <w:multiLevelType w:val="hybridMultilevel"/>
    <w:tmpl w:val="3076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1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16"/>
    <w:rsid w:val="000A0CD1"/>
    <w:rsid w:val="000B7541"/>
    <w:rsid w:val="001065B7"/>
    <w:rsid w:val="00117BF0"/>
    <w:rsid w:val="0012334C"/>
    <w:rsid w:val="00123EC7"/>
    <w:rsid w:val="00153638"/>
    <w:rsid w:val="001649EA"/>
    <w:rsid w:val="001B72D7"/>
    <w:rsid w:val="001C2B36"/>
    <w:rsid w:val="001D1EAD"/>
    <w:rsid w:val="001E74BB"/>
    <w:rsid w:val="00233FAD"/>
    <w:rsid w:val="0026207E"/>
    <w:rsid w:val="002924A5"/>
    <w:rsid w:val="002B07F4"/>
    <w:rsid w:val="002C3EDA"/>
    <w:rsid w:val="002C4F05"/>
    <w:rsid w:val="002C7F62"/>
    <w:rsid w:val="00344BFB"/>
    <w:rsid w:val="003630C1"/>
    <w:rsid w:val="003C3E3E"/>
    <w:rsid w:val="0044051A"/>
    <w:rsid w:val="00442ADB"/>
    <w:rsid w:val="004459F0"/>
    <w:rsid w:val="004A10CD"/>
    <w:rsid w:val="004C62CF"/>
    <w:rsid w:val="005365F3"/>
    <w:rsid w:val="00576133"/>
    <w:rsid w:val="005E3953"/>
    <w:rsid w:val="005E4239"/>
    <w:rsid w:val="006367A0"/>
    <w:rsid w:val="006624C6"/>
    <w:rsid w:val="00675BB0"/>
    <w:rsid w:val="00686582"/>
    <w:rsid w:val="006D2534"/>
    <w:rsid w:val="00713BB7"/>
    <w:rsid w:val="00761B62"/>
    <w:rsid w:val="007A74CD"/>
    <w:rsid w:val="007B10AC"/>
    <w:rsid w:val="008107A0"/>
    <w:rsid w:val="00861FCD"/>
    <w:rsid w:val="00875A13"/>
    <w:rsid w:val="00897AE8"/>
    <w:rsid w:val="008D3415"/>
    <w:rsid w:val="00931B40"/>
    <w:rsid w:val="0096266B"/>
    <w:rsid w:val="00965AA8"/>
    <w:rsid w:val="009C265A"/>
    <w:rsid w:val="009F49AA"/>
    <w:rsid w:val="00A158C1"/>
    <w:rsid w:val="00A247C6"/>
    <w:rsid w:val="00A92B43"/>
    <w:rsid w:val="00AA0ED4"/>
    <w:rsid w:val="00AD6016"/>
    <w:rsid w:val="00B148AF"/>
    <w:rsid w:val="00B71BC1"/>
    <w:rsid w:val="00B7733C"/>
    <w:rsid w:val="00B80B19"/>
    <w:rsid w:val="00B83636"/>
    <w:rsid w:val="00BA479F"/>
    <w:rsid w:val="00C31E9E"/>
    <w:rsid w:val="00C52A52"/>
    <w:rsid w:val="00C65515"/>
    <w:rsid w:val="00CC3C86"/>
    <w:rsid w:val="00CE05BA"/>
    <w:rsid w:val="00CE30FC"/>
    <w:rsid w:val="00D4622B"/>
    <w:rsid w:val="00D66911"/>
    <w:rsid w:val="00E32C18"/>
    <w:rsid w:val="00E51AD5"/>
    <w:rsid w:val="00E55820"/>
    <w:rsid w:val="00EC6DC9"/>
    <w:rsid w:val="00EE288E"/>
    <w:rsid w:val="00F2601F"/>
    <w:rsid w:val="00F76017"/>
    <w:rsid w:val="00F91DAA"/>
    <w:rsid w:val="00FA1C4D"/>
    <w:rsid w:val="00FA471A"/>
    <w:rsid w:val="00FA4DDD"/>
    <w:rsid w:val="00FC76C7"/>
    <w:rsid w:val="00F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1D4F32"/>
  <w15:docId w15:val="{6AE4B895-F9BB-4B96-A404-03820B2E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lavikaChar">
    <w:name w:val="Hlavička Char"/>
    <w:basedOn w:val="Predvolenpsmoodseku"/>
    <w:link w:val="Hlavik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ta">
    <w:name w:val="footer"/>
    <w:basedOn w:val="Normlny"/>
    <w:link w:val="PtaChar"/>
    <w:uiPriority w:val="99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0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0A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92B43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4051A"/>
    <w:pPr>
      <w:ind w:left="720"/>
      <w:contextualSpacing/>
    </w:pPr>
  </w:style>
  <w:style w:type="paragraph" w:styleId="Bezriadkovania">
    <w:name w:val="No Spacing"/>
    <w:uiPriority w:val="1"/>
    <w:qFormat/>
    <w:rsid w:val="0044051A"/>
    <w:rPr>
      <w:rFonts w:ascii="Rockwell" w:eastAsia="Rockwell" w:hAnsi="Rockwell" w:cs="Times New Roman"/>
    </w:rPr>
  </w:style>
  <w:style w:type="paragraph" w:customStyle="1" w:styleId="Odsekzoznamu1">
    <w:name w:val="Odsek zoznamu1"/>
    <w:basedOn w:val="Normlny"/>
    <w:uiPriority w:val="34"/>
    <w:qFormat/>
    <w:rsid w:val="0044051A"/>
    <w:pPr>
      <w:ind w:left="708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table" w:styleId="Mriekatabuky">
    <w:name w:val="Table Grid"/>
    <w:basedOn w:val="Normlnatabuka"/>
    <w:uiPriority w:val="59"/>
    <w:rsid w:val="000B7541"/>
    <w:rPr>
      <w:rFonts w:eastAsiaTheme="minorEastAsia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B7541"/>
  </w:style>
  <w:style w:type="character" w:styleId="Odkaznakomentr">
    <w:name w:val="annotation reference"/>
    <w:basedOn w:val="Predvolenpsmoodseku"/>
    <w:uiPriority w:val="99"/>
    <w:semiHidden/>
    <w:unhideWhenUsed/>
    <w:rsid w:val="00875A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5A1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5A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5A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5A1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A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ia.gov.s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259FE5B-A199-48A7-BE96-DE4A0136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Fond socialneho rozvoja</Company>
  <LinksUpToDate>false</LinksUpToDate>
  <CharactersWithSpaces>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Večera Pavel</dc:creator>
  <cp:lastModifiedBy>Oddelenie metodiky</cp:lastModifiedBy>
  <cp:revision>5</cp:revision>
  <cp:lastPrinted>2016-01-26T12:01:00Z</cp:lastPrinted>
  <dcterms:created xsi:type="dcterms:W3CDTF">2020-08-24T08:43:00Z</dcterms:created>
  <dcterms:modified xsi:type="dcterms:W3CDTF">2020-08-24T08:50:00Z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PRECONFIG@1.1001:a_deliveredat">
    <vt:lpwstr/>
  </property>
  <property fmtid="{D5CDD505-2E9C-101B-9397-08002B2CF9AE}" pid="3" name="FSC#SKPRECONFIG@1.1001:a_extension">
    <vt:lpwstr/>
  </property>
  <property fmtid="{D5CDD505-2E9C-101B-9397-08002B2CF9AE}" pid="4" name="FSC#SKPRECONFIG@1.1001:a_fileresponsible">
    <vt:lpwstr/>
  </property>
  <property fmtid="{D5CDD505-2E9C-101B-9397-08002B2CF9AE}" pid="5" name="FSC#SKPRECONFIG@1.1001:a_filesubj">
    <vt:lpwstr/>
  </property>
  <property fmtid="{D5CDD505-2E9C-101B-9397-08002B2CF9AE}" pid="6" name="FSC#SKPRECONFIG@1.1001:a_oursign">
    <vt:lpwstr/>
  </property>
  <property fmtid="{D5CDD505-2E9C-101B-9397-08002B2CF9AE}" pid="7" name="FSC#SKPRECONFIG@1.1001:a_sendersign">
    <vt:lpwstr/>
  </property>
  <property fmtid="{D5CDD505-2E9C-101B-9397-08002B2CF9AE}" pid="8" name="FSC#SKPRECONFIG@1.1001:a_validfrom">
    <vt:lpwstr/>
  </property>
  <property fmtid="{D5CDD505-2E9C-101B-9397-08002B2CF9AE}" pid="9" name="FSC#SKPRECONFIGSK@10.2600:emailsprac">
    <vt:lpwstr/>
  </property>
  <property fmtid="{D5CDD505-2E9C-101B-9397-08002B2CF9AE}" pid="10" name="FSC#SKPRECONFIGSK@10.2600:sk_org_fullname">
    <vt:lpwstr>Implementačná agentúra pre Operačný program Zamestnanosť a sociálna inklúzia </vt:lpwstr>
  </property>
  <property fmtid="{D5CDD505-2E9C-101B-9397-08002B2CF9AE}" pid="11" name="FSC#SKPRECONFIGSK@10.2600:viz_fileresporg_emailaddress">
    <vt:lpwstr/>
  </property>
  <property fmtid="{D5CDD505-2E9C-101B-9397-08002B2CF9AE}" pid="12" name="FSC#SKPRECONFIGSK@10.2600:viz_fileresporg_fax">
    <vt:lpwstr/>
  </property>
  <property fmtid="{D5CDD505-2E9C-101B-9397-08002B2CF9AE}" pid="13" name="FSC#SKPRECONFIGSK@10.2600:viz_fileresporg_function">
    <vt:lpwstr/>
  </property>
  <property fmtid="{D5CDD505-2E9C-101B-9397-08002B2CF9AE}" pid="14" name="FSC#SKPRECONFIGSK@10.2600:viz_fileresporg_head">
    <vt:lpwstr/>
  </property>
  <property fmtid="{D5CDD505-2E9C-101B-9397-08002B2CF9AE}" pid="15" name="FSC#SKPRECONFIGSK@10.2600:viz_fileresporg_longname">
    <vt:lpwstr/>
  </property>
  <property fmtid="{D5CDD505-2E9C-101B-9397-08002B2CF9AE}" pid="16" name="FSC#SKPRECONFIGSK@10.2600:viz_fileresporg_phone_OU">
    <vt:lpwstr/>
  </property>
  <property fmtid="{D5CDD505-2E9C-101B-9397-08002B2CF9AE}" pid="17" name="FSC#SKPRECONFIGSK@10.2600:viz_fileresporg_psc">
    <vt:lpwstr/>
  </property>
  <property fmtid="{D5CDD505-2E9C-101B-9397-08002B2CF9AE}" pid="18" name="FSC#SKPRECONFIGSK@10.2600:viz_fileresporg_ulica">
    <vt:lpwstr/>
  </property>
  <property fmtid="{D5CDD505-2E9C-101B-9397-08002B2CF9AE}" pid="19" name="FSC#SKPRECONFIGSK@10.2600:viz_tel_number">
    <vt:lpwstr/>
  </property>
  <property fmtid="{D5CDD505-2E9C-101B-9397-08002B2CF9AE}" pid="20" name="FSC#SKPRECONFIGSK@10.2600:zaznam_jeden_adresat">
    <vt:lpwstr/>
  </property>
  <property fmtid="{D5CDD505-2E9C-101B-9397-08002B2CF9AE}" pid="21" name="FSC#SKMPSVR@103.510:mp_org_city">
    <vt:lpwstr>Bratislava</vt:lpwstr>
  </property>
  <property fmtid="{D5CDD505-2E9C-101B-9397-08002B2CF9AE}" pid="22" name="FSC$NOPARSEFILE">
    <vt:bool>true</vt:bool>
  </property>
</Properties>
</file>